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02C5">
      <w:pPr>
        <w:spacing w:line="600" w:lineRule="exact"/>
        <w:jc w:val="left"/>
        <w:outlineLvl w:val="0"/>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附件1</w:t>
      </w:r>
    </w:p>
    <w:p w14:paraId="2B1F08BD">
      <w:pPr>
        <w:spacing w:line="600" w:lineRule="exact"/>
        <w:ind w:firstLine="560" w:firstLineChars="200"/>
        <w:jc w:val="left"/>
        <w:outlineLvl w:val="0"/>
        <w:rPr>
          <w:rFonts w:hint="eastAsia" w:ascii="黑体" w:hAnsi="黑体" w:eastAsia="黑体" w:cs="黑体"/>
          <w:color w:val="auto"/>
          <w:sz w:val="28"/>
          <w:szCs w:val="28"/>
          <w:lang w:val="en-US" w:eastAsia="zh-CN"/>
        </w:rPr>
      </w:pPr>
    </w:p>
    <w:p w14:paraId="199E25A0">
      <w:pPr>
        <w:spacing w:line="600" w:lineRule="exact"/>
        <w:ind w:firstLine="723" w:firstLineChars="200"/>
        <w:jc w:val="center"/>
        <w:outlineLvl w:val="0"/>
        <w:rPr>
          <w:rFonts w:hint="eastAsia" w:hAnsi="方正小标宋简体" w:eastAsia="方正小标宋简体" w:cs="方正小标宋简体"/>
          <w:b/>
          <w:bCs/>
          <w:color w:val="auto"/>
          <w:sz w:val="36"/>
          <w:szCs w:val="36"/>
        </w:rPr>
      </w:pPr>
      <w:r>
        <w:rPr>
          <w:rFonts w:hint="eastAsia" w:hAnsi="方正小标宋简体" w:eastAsia="方正小标宋简体" w:cs="方正小标宋简体"/>
          <w:b/>
          <w:bCs/>
          <w:color w:val="auto"/>
          <w:sz w:val="36"/>
          <w:szCs w:val="36"/>
        </w:rPr>
        <w:t>西南交通大学2026—2028年（本科）教学研究与改革项目申报指南</w:t>
      </w:r>
    </w:p>
    <w:p w14:paraId="63163933">
      <w:pPr>
        <w:autoSpaceDE/>
        <w:autoSpaceDN/>
        <w:adjustRightInd w:val="0"/>
        <w:snapToGrid w:val="0"/>
        <w:spacing w:line="600" w:lineRule="exact"/>
        <w:ind w:left="420"/>
        <w:jc w:val="both"/>
        <w:rPr>
          <w:rFonts w:hint="eastAsia" w:ascii="黑体" w:hAnsi="黑体" w:eastAsia="黑体" w:cs="黑体"/>
          <w:bCs/>
          <w:color w:val="auto"/>
          <w:sz w:val="28"/>
          <w:szCs w:val="28"/>
        </w:rPr>
      </w:pPr>
    </w:p>
    <w:p w14:paraId="669D3DB4">
      <w:pPr>
        <w:numPr>
          <w:ilvl w:val="0"/>
          <w:numId w:val="1"/>
        </w:numPr>
        <w:autoSpaceDE/>
        <w:autoSpaceDN/>
        <w:adjustRightInd w:val="0"/>
        <w:snapToGrid w:val="0"/>
        <w:spacing w:line="600" w:lineRule="exact"/>
        <w:ind w:firstLine="600" w:firstLineChars="200"/>
        <w:jc w:val="both"/>
        <w:rPr>
          <w:rFonts w:hint="eastAsia" w:ascii="黑体" w:hAnsi="黑体" w:eastAsia="黑体" w:cs="黑体"/>
          <w:bCs/>
          <w:color w:val="auto"/>
          <w:sz w:val="30"/>
          <w:szCs w:val="30"/>
        </w:rPr>
      </w:pPr>
      <w:r>
        <w:rPr>
          <w:rFonts w:hint="eastAsia" w:ascii="黑体" w:hAnsi="黑体" w:eastAsia="黑体" w:cs="黑体"/>
          <w:bCs/>
          <w:color w:val="auto"/>
          <w:sz w:val="30"/>
          <w:szCs w:val="30"/>
        </w:rPr>
        <w:t>习近平总书记重要回信精神融入人才培养全过程路径研究</w:t>
      </w:r>
    </w:p>
    <w:p w14:paraId="1B027A32">
      <w:pPr>
        <w:autoSpaceDE/>
        <w:autoSpaceDN/>
        <w:adjustRightInd w:val="0"/>
        <w:snapToGrid w:val="0"/>
        <w:spacing w:line="600" w:lineRule="exact"/>
        <w:ind w:firstLine="600" w:firstLineChars="200"/>
        <w:jc w:val="both"/>
        <w:rPr>
          <w:rFonts w:hint="eastAsia" w:ascii="仿宋_GB2312" w:hAnsi="仿宋_GB2312" w:eastAsia="仿宋_GB2312" w:cs="仿宋_GB2312"/>
          <w:bCs/>
          <w:color w:val="auto"/>
          <w:sz w:val="30"/>
          <w:szCs w:val="30"/>
        </w:rPr>
      </w:pPr>
      <w:r>
        <w:rPr>
          <w:rFonts w:hint="eastAsia" w:ascii="仿宋_GB2312" w:hAnsi="仿宋_GB2312" w:eastAsia="仿宋_GB2312" w:cs="仿宋_GB2312"/>
          <w:bCs/>
          <w:color w:val="auto"/>
          <w:sz w:val="30"/>
          <w:szCs w:val="30"/>
        </w:rPr>
        <w:t>以习近平新时代中国特色社会主义思想为引领，</w:t>
      </w:r>
      <w:r>
        <w:rPr>
          <w:rFonts w:hint="eastAsia" w:ascii="仿宋_GB2312" w:hAnsi="仿宋_GB2312" w:eastAsia="仿宋_GB2312" w:cs="仿宋_GB2312"/>
          <w:bCs/>
          <w:color w:val="auto"/>
          <w:sz w:val="30"/>
          <w:szCs w:val="30"/>
          <w:lang w:val="en-US" w:eastAsia="zh-CN"/>
        </w:rPr>
        <w:t>探索作为思政元素的西迁精神融入课程教学的</w:t>
      </w:r>
      <w:r>
        <w:rPr>
          <w:rFonts w:hint="eastAsia" w:ascii="仿宋_GB2312" w:hAnsi="仿宋_GB2312" w:eastAsia="仿宋_GB2312" w:cs="仿宋_GB2312"/>
          <w:bCs/>
          <w:color w:val="auto"/>
          <w:sz w:val="30"/>
          <w:szCs w:val="30"/>
        </w:rPr>
        <w:t>路径</w:t>
      </w:r>
      <w:r>
        <w:rPr>
          <w:rFonts w:hint="eastAsia" w:ascii="仿宋_GB2312" w:hAnsi="仿宋_GB2312" w:eastAsia="仿宋_GB2312" w:cs="仿宋_GB2312"/>
          <w:bCs/>
          <w:color w:val="auto"/>
          <w:sz w:val="30"/>
          <w:szCs w:val="30"/>
          <w:lang w:eastAsia="zh-CN"/>
        </w:rPr>
        <w:t>。</w:t>
      </w:r>
      <w:r>
        <w:rPr>
          <w:rFonts w:hint="eastAsia" w:ascii="仿宋_GB2312" w:hAnsi="仿宋_GB2312" w:eastAsia="仿宋_GB2312" w:cs="仿宋_GB2312"/>
          <w:bCs/>
          <w:color w:val="auto"/>
          <w:sz w:val="30"/>
          <w:szCs w:val="30"/>
          <w:lang w:val="en-US" w:eastAsia="zh-CN"/>
        </w:rPr>
        <w:t>开展</w:t>
      </w:r>
      <w:r>
        <w:rPr>
          <w:rFonts w:hint="eastAsia" w:ascii="仿宋_GB2312" w:hAnsi="仿宋_GB2312" w:eastAsia="仿宋_GB2312" w:cs="仿宋_GB2312"/>
          <w:bCs/>
          <w:color w:val="auto"/>
          <w:sz w:val="30"/>
          <w:szCs w:val="30"/>
        </w:rPr>
        <w:t>新时代</w:t>
      </w:r>
      <w:r>
        <w:rPr>
          <w:rFonts w:hint="eastAsia" w:ascii="仿宋_GB2312" w:hAnsi="仿宋_GB2312" w:eastAsia="仿宋_GB2312" w:cs="仿宋_GB2312"/>
          <w:bCs/>
          <w:color w:val="auto"/>
          <w:sz w:val="30"/>
          <w:szCs w:val="30"/>
          <w:lang w:val="en-US" w:eastAsia="zh-CN"/>
        </w:rPr>
        <w:t>创新</w:t>
      </w:r>
      <w:r>
        <w:rPr>
          <w:rFonts w:hint="eastAsia" w:ascii="仿宋_GB2312" w:hAnsi="仿宋_GB2312" w:eastAsia="仿宋_GB2312" w:cs="仿宋_GB2312"/>
          <w:bCs/>
          <w:color w:val="auto"/>
          <w:sz w:val="30"/>
          <w:szCs w:val="30"/>
        </w:rPr>
        <w:t>人才自主培养</w:t>
      </w:r>
      <w:r>
        <w:rPr>
          <w:rFonts w:hint="eastAsia" w:ascii="仿宋_GB2312" w:hAnsi="仿宋_GB2312" w:eastAsia="仿宋_GB2312" w:cs="仿宋_GB2312"/>
          <w:bCs/>
          <w:color w:val="auto"/>
          <w:sz w:val="30"/>
          <w:szCs w:val="30"/>
          <w:lang w:val="en-US" w:eastAsia="zh-CN"/>
        </w:rPr>
        <w:t>模式和</w:t>
      </w:r>
      <w:r>
        <w:rPr>
          <w:rFonts w:hint="eastAsia" w:ascii="仿宋_GB2312" w:hAnsi="仿宋_GB2312" w:eastAsia="仿宋_GB2312" w:cs="仿宋_GB2312"/>
          <w:bCs/>
          <w:color w:val="auto"/>
          <w:sz w:val="30"/>
          <w:szCs w:val="30"/>
        </w:rPr>
        <w:t>产学研深度融合育人</w:t>
      </w:r>
      <w:r>
        <w:rPr>
          <w:rFonts w:hint="eastAsia" w:ascii="仿宋_GB2312" w:hAnsi="仿宋_GB2312" w:eastAsia="仿宋_GB2312" w:cs="仿宋_GB2312"/>
          <w:bCs/>
          <w:color w:val="auto"/>
          <w:sz w:val="30"/>
          <w:szCs w:val="30"/>
          <w:lang w:val="en-US" w:eastAsia="zh-CN"/>
        </w:rPr>
        <w:t>机制研究</w:t>
      </w:r>
      <w:r>
        <w:rPr>
          <w:rFonts w:hint="eastAsia" w:ascii="仿宋_GB2312" w:hAnsi="仿宋_GB2312" w:eastAsia="仿宋_GB2312" w:cs="仿宋_GB2312"/>
          <w:bCs/>
          <w:color w:val="auto"/>
          <w:sz w:val="30"/>
          <w:szCs w:val="30"/>
          <w:lang w:eastAsia="zh-CN"/>
        </w:rPr>
        <w:t>。</w:t>
      </w:r>
      <w:r>
        <w:rPr>
          <w:rFonts w:hint="eastAsia" w:ascii="仿宋_GB2312" w:hAnsi="仿宋_GB2312" w:eastAsia="仿宋_GB2312" w:cs="仿宋_GB2312"/>
          <w:bCs/>
          <w:color w:val="auto"/>
          <w:sz w:val="30"/>
          <w:szCs w:val="30"/>
          <w:lang w:val="en-US" w:eastAsia="zh-CN"/>
        </w:rPr>
        <w:t>探究“求实学、务实业”学风建设创新路径</w:t>
      </w:r>
      <w:r>
        <w:rPr>
          <w:rFonts w:hint="eastAsia" w:ascii="仿宋_GB2312" w:hAnsi="仿宋_GB2312" w:eastAsia="仿宋_GB2312" w:cs="仿宋_GB2312"/>
          <w:bCs/>
          <w:color w:val="auto"/>
          <w:sz w:val="30"/>
          <w:szCs w:val="30"/>
        </w:rPr>
        <w:t>。聚焦新时代伟大实践，将思政小课堂与社会大课堂相结合，探索“四全”育人模式和思政课程教学新方法。开展数智思政融入教育教学创新</w:t>
      </w:r>
      <w:r>
        <w:rPr>
          <w:rFonts w:hint="eastAsia" w:ascii="仿宋_GB2312" w:hAnsi="仿宋_GB2312" w:eastAsia="仿宋_GB2312" w:cs="仿宋_GB2312"/>
          <w:bCs/>
          <w:color w:val="auto"/>
          <w:sz w:val="30"/>
          <w:szCs w:val="30"/>
          <w:lang w:val="en-US" w:eastAsia="zh-CN"/>
        </w:rPr>
        <w:t>的</w:t>
      </w:r>
      <w:r>
        <w:rPr>
          <w:rFonts w:hint="eastAsia" w:ascii="仿宋_GB2312" w:hAnsi="仿宋_GB2312" w:eastAsia="仿宋_GB2312" w:cs="仿宋_GB2312"/>
          <w:bCs/>
          <w:color w:val="auto"/>
          <w:sz w:val="30"/>
          <w:szCs w:val="30"/>
        </w:rPr>
        <w:t>模式研究，全力构建大思政育人新体系。</w:t>
      </w:r>
    </w:p>
    <w:p w14:paraId="11455C98">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“大健康”育人格局探索实践</w:t>
      </w:r>
    </w:p>
    <w:p w14:paraId="2CFDE86B">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坚守“健康第一”教育理念，开展大健康育人体系构建与实践研究，建设“大健康”育人课程集群。聚焦大学生身心素养提升，开展体育、美育、劳动教育、心理健康等教学模式改革及体质健康监测评价体系研究。探究医教融通的医疗资源前置布局与早期健康干预路径。</w:t>
      </w:r>
    </w:p>
    <w:p w14:paraId="23CA295D">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轨道交通特色创新人才自主培养体系构建研究</w:t>
      </w:r>
    </w:p>
    <w:p w14:paraId="1DA19C1F">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聚焦新时代轨道交通特色创新人才自主培养体系构建，开展专业集群建设、人才培养目标、核心课程与教材体系等研究。深入研究产学研一体化培养新路径。探索轨道交通核心数字化教学资源体系建设。</w:t>
      </w:r>
    </w:p>
    <w:p w14:paraId="5BEF01BD">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数智时代本科专业转型升级与布局优化</w:t>
      </w:r>
      <w:r>
        <w:rPr>
          <w:rFonts w:hint="eastAsia" w:ascii="黑体" w:hAnsi="黑体" w:eastAsia="黑体" w:cs="黑体"/>
          <w:bCs/>
          <w:color w:val="auto"/>
          <w:sz w:val="28"/>
          <w:szCs w:val="28"/>
          <w:lang w:val="en-US" w:eastAsia="zh-CN"/>
        </w:rPr>
        <w:t>路径</w:t>
      </w:r>
      <w:r>
        <w:rPr>
          <w:rFonts w:hint="eastAsia" w:ascii="黑体" w:hAnsi="黑体" w:eastAsia="黑体" w:cs="黑体"/>
          <w:bCs/>
          <w:color w:val="auto"/>
          <w:sz w:val="28"/>
          <w:szCs w:val="28"/>
        </w:rPr>
        <w:t>研究</w:t>
      </w:r>
    </w:p>
    <w:p w14:paraId="7B229D80">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聚焦轨道交通特色优势与回归行业前沿主流，开展以“智能+”“交通+”驱动专业转型、新兴交叉专业布局、双学士学位及中外合作办学项目设置、微专业建设、大通识课程体系、专业核心课程</w:t>
      </w:r>
      <w:r>
        <w:rPr>
          <w:rFonts w:hint="eastAsia" w:ascii="仿宋_GB2312" w:hAnsi="仿宋_GB2312" w:eastAsia="仿宋_GB2312" w:cs="仿宋_GB2312"/>
          <w:bCs/>
          <w:color w:val="auto"/>
          <w:sz w:val="28"/>
          <w:szCs w:val="28"/>
          <w:lang w:val="en-US" w:eastAsia="zh-CN"/>
        </w:rPr>
        <w:t>体系</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跨学科课程、</w:t>
      </w:r>
      <w:r>
        <w:rPr>
          <w:rFonts w:hint="eastAsia" w:ascii="仿宋_GB2312" w:hAnsi="仿宋_GB2312" w:eastAsia="仿宋_GB2312" w:cs="仿宋_GB2312"/>
          <w:bCs/>
          <w:color w:val="auto"/>
          <w:sz w:val="28"/>
          <w:szCs w:val="28"/>
        </w:rPr>
        <w:t>项目式课程建设</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以及课程知识更新</w:t>
      </w:r>
      <w:r>
        <w:rPr>
          <w:rFonts w:hint="eastAsia" w:ascii="仿宋_GB2312" w:hAnsi="仿宋_GB2312" w:eastAsia="仿宋_GB2312" w:cs="仿宋_GB2312"/>
          <w:bCs/>
          <w:color w:val="auto"/>
          <w:sz w:val="28"/>
          <w:szCs w:val="28"/>
        </w:rPr>
        <w:t>等研究</w:t>
      </w:r>
      <w:r>
        <w:rPr>
          <w:rFonts w:hint="eastAsia" w:ascii="仿宋_GB2312" w:hAnsi="仿宋_GB2312" w:eastAsia="仿宋_GB2312" w:cs="仿宋_GB2312"/>
          <w:bCs/>
          <w:color w:val="auto"/>
          <w:sz w:val="28"/>
          <w:szCs w:val="28"/>
          <w:lang w:val="en-US" w:eastAsia="zh-CN"/>
        </w:rPr>
        <w:t>，</w:t>
      </w:r>
      <w:r>
        <w:rPr>
          <w:rFonts w:hint="eastAsia" w:ascii="仿宋_GB2312" w:hAnsi="仿宋_GB2312" w:eastAsia="仿宋_GB2312" w:cs="仿宋_GB2312"/>
          <w:bCs/>
          <w:color w:val="auto"/>
          <w:sz w:val="28"/>
          <w:szCs w:val="28"/>
        </w:rPr>
        <w:t>助推专业内涵建设。</w:t>
      </w:r>
    </w:p>
    <w:p w14:paraId="7A0142A3">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本研贯通拔尖创新人才培养体系研究</w:t>
      </w:r>
    </w:p>
    <w:p w14:paraId="1D667342">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聚焦构建拔尖创新人才本研贯通自主培养体系，探索基于知识衔接的一体化分级课程与实践体系</w:t>
      </w:r>
      <w:bookmarkStart w:id="0" w:name="_GoBack"/>
      <w:bookmarkEnd w:id="0"/>
      <w:r>
        <w:rPr>
          <w:rFonts w:hint="eastAsia" w:ascii="仿宋_GB2312" w:hAnsi="仿宋_GB2312" w:eastAsia="仿宋_GB2312" w:cs="仿宋_GB2312"/>
          <w:bCs/>
          <w:color w:val="auto"/>
          <w:sz w:val="28"/>
          <w:szCs w:val="28"/>
        </w:rPr>
        <w:t>，研究学生进课题、进实验室、进科研团队的项目式融合培养路径。开展本研课程互选互认、跨学科导师联合培养、评价与考核体系、优质教学资源配置、学生选拔与管理等机制研究。</w:t>
      </w:r>
    </w:p>
    <w:p w14:paraId="7E60712E">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人才培养体系与人工智能技术深度融合改革创新</w:t>
      </w:r>
    </w:p>
    <w:p w14:paraId="23CE3E06">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以人工智能技术融入为契机，全面重构专业与课程知识体系，革新人才培养目标，建设人工智能通识、前沿、交叉课程，创新“人工智能+”专业课程融合路径。开展AI驱动理论教学与实践教学结构优化策略研究，探索师生机多主体联动新型教学模式及个性化学习评价体系</w:t>
      </w:r>
      <w:r>
        <w:rPr>
          <w:rFonts w:hint="eastAsia" w:ascii="仿宋_GB2312" w:hAnsi="仿宋_GB2312" w:eastAsia="仿宋_GB2312" w:cs="仿宋_GB2312"/>
          <w:bCs/>
          <w:color w:val="auto"/>
          <w:sz w:val="28"/>
          <w:szCs w:val="28"/>
          <w:lang w:eastAsia="zh-CN"/>
        </w:rPr>
        <w:t>。探索面向“未来教师、未来课堂、未来学校、未来学习中心”建设，助力人才培养的改革路径。</w:t>
      </w:r>
      <w:r>
        <w:rPr>
          <w:rFonts w:hint="eastAsia" w:ascii="仿宋_GB2312" w:hAnsi="仿宋_GB2312" w:eastAsia="仿宋_GB2312" w:cs="仿宋_GB2312"/>
          <w:bCs/>
          <w:color w:val="auto"/>
          <w:sz w:val="28"/>
          <w:szCs w:val="28"/>
        </w:rPr>
        <w:t>开展人工智能融入</w:t>
      </w:r>
      <w:r>
        <w:rPr>
          <w:rFonts w:hint="eastAsia" w:ascii="仿宋_GB2312" w:hAnsi="仿宋_GB2312" w:eastAsia="仿宋_GB2312" w:cs="仿宋_GB2312"/>
          <w:bCs/>
          <w:color w:val="auto"/>
          <w:sz w:val="28"/>
          <w:szCs w:val="28"/>
          <w:lang w:val="en-US" w:eastAsia="zh-CN"/>
        </w:rPr>
        <w:t>教育教学</w:t>
      </w:r>
      <w:r>
        <w:rPr>
          <w:rFonts w:hint="eastAsia" w:ascii="仿宋_GB2312" w:hAnsi="仿宋_GB2312" w:eastAsia="仿宋_GB2312" w:cs="仿宋_GB2312"/>
          <w:bCs/>
          <w:color w:val="auto"/>
          <w:sz w:val="28"/>
          <w:szCs w:val="28"/>
        </w:rPr>
        <w:t>的边界与伦理研究，更好服务人才培养。</w:t>
      </w:r>
    </w:p>
    <w:p w14:paraId="2FF82571">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lang w:val="en-US" w:eastAsia="zh-CN"/>
        </w:rPr>
        <w:t>“四新”建设转型路径研究</w:t>
      </w:r>
    </w:p>
    <w:p w14:paraId="5EBE52DE">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lang w:eastAsia="zh-CN"/>
        </w:rPr>
      </w:pPr>
      <w:r>
        <w:rPr>
          <w:rFonts w:hint="eastAsia" w:ascii="仿宋_GB2312" w:hAnsi="仿宋_GB2312" w:eastAsia="仿宋_GB2312" w:cs="仿宋_GB2312"/>
          <w:bCs/>
          <w:color w:val="auto"/>
          <w:sz w:val="28"/>
          <w:szCs w:val="28"/>
          <w:lang w:val="en-US" w:eastAsia="zh-CN"/>
        </w:rPr>
        <w:t>围绕</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四新</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建设转型</w:t>
      </w:r>
      <w:r>
        <w:rPr>
          <w:rFonts w:hint="eastAsia" w:ascii="仿宋_GB2312" w:hAnsi="仿宋_GB2312" w:eastAsia="仿宋_GB2312" w:cs="仿宋_GB2312"/>
          <w:bCs/>
          <w:color w:val="auto"/>
          <w:sz w:val="28"/>
          <w:szCs w:val="28"/>
          <w:lang w:eastAsia="zh-CN"/>
        </w:rPr>
        <w:t>，探索面向产业变革与科技前沿的学科交叉融合培养路径，</w:t>
      </w:r>
      <w:r>
        <w:rPr>
          <w:rFonts w:hint="eastAsia" w:ascii="仿宋_GB2312" w:hAnsi="仿宋_GB2312" w:eastAsia="仿宋_GB2312" w:cs="仿宋_GB2312"/>
          <w:bCs/>
          <w:color w:val="auto"/>
          <w:sz w:val="28"/>
          <w:szCs w:val="28"/>
          <w:lang w:val="en-US" w:eastAsia="zh-CN"/>
        </w:rPr>
        <w:t>开展</w:t>
      </w:r>
      <w:r>
        <w:rPr>
          <w:rFonts w:hint="eastAsia" w:ascii="仿宋_GB2312" w:hAnsi="仿宋_GB2312" w:eastAsia="仿宋_GB2312" w:cs="仿宋_GB2312"/>
          <w:bCs/>
          <w:color w:val="auto"/>
          <w:sz w:val="28"/>
          <w:szCs w:val="28"/>
          <w:lang w:eastAsia="zh-CN"/>
        </w:rPr>
        <w:t>构建支撑“四新”建设的课程体系、实践平台与质量评价机制</w:t>
      </w:r>
      <w:r>
        <w:rPr>
          <w:rFonts w:hint="eastAsia" w:ascii="仿宋_GB2312" w:hAnsi="仿宋_GB2312" w:eastAsia="仿宋_GB2312" w:cs="仿宋_GB2312"/>
          <w:bCs/>
          <w:color w:val="auto"/>
          <w:sz w:val="28"/>
          <w:szCs w:val="28"/>
          <w:lang w:val="en-US" w:eastAsia="zh-CN"/>
        </w:rPr>
        <w:t>研究。</w:t>
      </w:r>
      <w:r>
        <w:rPr>
          <w:rFonts w:hint="eastAsia" w:ascii="仿宋_GB2312" w:hAnsi="仿宋_GB2312" w:eastAsia="仿宋_GB2312" w:cs="仿宋_GB2312"/>
          <w:bCs/>
          <w:color w:val="auto"/>
          <w:sz w:val="28"/>
          <w:szCs w:val="28"/>
          <w:lang w:eastAsia="zh-CN"/>
        </w:rPr>
        <w:t>研究工科院校中文科服务学校整体及自身发展的协同机制，推动人才培养模式迭代升级。</w:t>
      </w:r>
    </w:p>
    <w:p w14:paraId="2289C29F">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新型创新实践和实验教学体系改革研究</w:t>
      </w:r>
    </w:p>
    <w:p w14:paraId="6C6CB54E">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立足产学研深度融合与真实场景驱动，开展企业资源与科研项目</w:t>
      </w:r>
      <w:r>
        <w:rPr>
          <w:rFonts w:hint="eastAsia" w:ascii="仿宋_GB2312" w:hAnsi="仿宋_GB2312" w:eastAsia="仿宋_GB2312" w:cs="仿宋_GB2312"/>
          <w:bCs/>
          <w:color w:val="auto"/>
          <w:sz w:val="28"/>
          <w:szCs w:val="28"/>
          <w:lang w:val="en-US" w:eastAsia="zh-CN"/>
        </w:rPr>
        <w:t>向教学</w:t>
      </w:r>
      <w:r>
        <w:rPr>
          <w:rFonts w:hint="eastAsia" w:ascii="仿宋_GB2312" w:hAnsi="仿宋_GB2312" w:eastAsia="仿宋_GB2312" w:cs="仿宋_GB2312"/>
          <w:bCs/>
          <w:color w:val="auto"/>
          <w:sz w:val="28"/>
          <w:szCs w:val="28"/>
        </w:rPr>
        <w:t>转化</w:t>
      </w:r>
      <w:r>
        <w:rPr>
          <w:rFonts w:hint="eastAsia" w:ascii="仿宋_GB2312" w:hAnsi="仿宋_GB2312" w:eastAsia="仿宋_GB2312" w:cs="仿宋_GB2312"/>
          <w:bCs/>
          <w:color w:val="auto"/>
          <w:sz w:val="28"/>
          <w:szCs w:val="28"/>
          <w:lang w:val="en-US" w:eastAsia="zh-CN"/>
        </w:rPr>
        <w:t>的</w:t>
      </w:r>
      <w:r>
        <w:rPr>
          <w:rFonts w:hint="eastAsia" w:ascii="仿宋_GB2312" w:hAnsi="仿宋_GB2312" w:eastAsia="仿宋_GB2312" w:cs="仿宋_GB2312"/>
          <w:bCs/>
          <w:color w:val="auto"/>
          <w:sz w:val="28"/>
          <w:szCs w:val="28"/>
        </w:rPr>
        <w:t>模式研究，探索递进式项目制实验实践教学模式改革路径。开展综合实验实践课程、贯通式实验室及实践基地建设研究。</w:t>
      </w:r>
      <w:r>
        <w:rPr>
          <w:rFonts w:hint="eastAsia" w:ascii="仿宋_GB2312" w:hAnsi="仿宋_GB2312" w:eastAsia="仿宋_GB2312" w:cs="仿宋_GB2312"/>
          <w:bCs/>
          <w:color w:val="auto"/>
          <w:sz w:val="28"/>
          <w:szCs w:val="28"/>
          <w:lang w:val="en-US" w:eastAsia="zh-CN"/>
        </w:rPr>
        <w:t>探索</w:t>
      </w:r>
      <w:r>
        <w:rPr>
          <w:rFonts w:hint="eastAsia" w:ascii="仿宋_GB2312" w:hAnsi="仿宋_GB2312" w:eastAsia="仿宋_GB2312" w:cs="仿宋_GB2312"/>
          <w:bCs/>
          <w:color w:val="auto"/>
          <w:sz w:val="28"/>
          <w:szCs w:val="28"/>
        </w:rPr>
        <w:t>创新创业融入创新实践育人的路径</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以及</w:t>
      </w:r>
      <w:r>
        <w:rPr>
          <w:rFonts w:hint="eastAsia" w:ascii="仿宋_GB2312" w:hAnsi="仿宋_GB2312" w:eastAsia="仿宋_GB2312" w:cs="仿宋_GB2312"/>
          <w:bCs/>
          <w:color w:val="auto"/>
          <w:sz w:val="28"/>
          <w:szCs w:val="28"/>
        </w:rPr>
        <w:t>高水平、高沉浸感的虚拟仿真实验和实习新形态。探究智慧实验室建设、新型实验教学项目开发、自制仪器设备研制的实现路径。</w:t>
      </w:r>
    </w:p>
    <w:p w14:paraId="749469A6">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教师高质量发展与质量评价保障</w:t>
      </w:r>
      <w:r>
        <w:rPr>
          <w:rFonts w:hint="eastAsia" w:ascii="黑体" w:hAnsi="黑体" w:eastAsia="黑体" w:cs="黑体"/>
          <w:bCs/>
          <w:color w:val="auto"/>
          <w:sz w:val="28"/>
          <w:szCs w:val="28"/>
          <w:lang w:val="en-US" w:eastAsia="zh-CN"/>
        </w:rPr>
        <w:t>机制</w:t>
      </w:r>
      <w:r>
        <w:rPr>
          <w:rFonts w:hint="eastAsia" w:ascii="黑体" w:hAnsi="黑体" w:eastAsia="黑体" w:cs="黑体"/>
          <w:bCs/>
          <w:color w:val="auto"/>
          <w:sz w:val="28"/>
          <w:szCs w:val="28"/>
        </w:rPr>
        <w:t>研究</w:t>
      </w:r>
    </w:p>
    <w:p w14:paraId="7CA5ED01">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聚焦高质量发展，围绕教学名师培育与示范辐射作用发挥策略、全员分阶段分层次教师教学发展体系、教师数智素养能力框架与提升路径、基层教学组织赋能教师能力提升方法、完善本科教学质量保证机制、专业认证与评估长效运行机制，以及AI驱动本科教学质量多元智能评价体系构建与实践等开展研究。</w:t>
      </w:r>
    </w:p>
    <w:p w14:paraId="04822831">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人才培养全过程深度联动机制研究</w:t>
      </w:r>
    </w:p>
    <w:p w14:paraId="104C97C7">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lang w:eastAsia="zh-CN"/>
        </w:rPr>
      </w:pPr>
      <w:r>
        <w:rPr>
          <w:rFonts w:hint="eastAsia" w:ascii="仿宋_GB2312" w:hAnsi="仿宋_GB2312" w:eastAsia="仿宋_GB2312" w:cs="仿宋_GB2312"/>
          <w:bCs/>
          <w:color w:val="auto"/>
          <w:sz w:val="28"/>
          <w:szCs w:val="28"/>
        </w:rPr>
        <w:t>聚焦“生源选拔-在校培养-毕业就业”全链条，开展招生与培养前置联动机制研究，探索将培养目标、课程体系、实践资源前置融入招生引导，实现选才与育才一体化衔接路径与方法。探究以就业能力提升为导向的人才培养核心要素供给优化调整适配策略、畅通培养质量就业反馈闭环路径。</w:t>
      </w:r>
      <w:r>
        <w:rPr>
          <w:rFonts w:hint="eastAsia" w:ascii="仿宋_GB2312" w:hAnsi="仿宋_GB2312" w:eastAsia="仿宋_GB2312" w:cs="仿宋_GB2312"/>
          <w:bCs/>
          <w:color w:val="auto"/>
          <w:sz w:val="28"/>
          <w:szCs w:val="28"/>
          <w:lang w:val="en-US" w:eastAsia="zh-CN"/>
        </w:rPr>
        <w:t>探索</w:t>
      </w:r>
      <w:r>
        <w:rPr>
          <w:rFonts w:hint="eastAsia" w:ascii="仿宋_GB2312" w:hAnsi="仿宋_GB2312" w:eastAsia="仿宋_GB2312" w:cs="仿宋_GB2312"/>
          <w:bCs/>
          <w:color w:val="auto"/>
          <w:sz w:val="28"/>
          <w:szCs w:val="28"/>
        </w:rPr>
        <w:t>本科优质生源选拔和教育教学优秀成果宣传模式</w:t>
      </w:r>
      <w:r>
        <w:rPr>
          <w:rFonts w:hint="eastAsia" w:ascii="仿宋_GB2312" w:hAnsi="仿宋_GB2312" w:eastAsia="仿宋_GB2312" w:cs="仿宋_GB2312"/>
          <w:bCs/>
          <w:color w:val="auto"/>
          <w:sz w:val="28"/>
          <w:szCs w:val="28"/>
          <w:lang w:eastAsia="zh-CN"/>
        </w:rPr>
        <w:t>。</w:t>
      </w:r>
    </w:p>
    <w:p w14:paraId="39CB32EB">
      <w:pPr>
        <w:numPr>
          <w:ilvl w:val="0"/>
          <w:numId w:val="1"/>
        </w:numPr>
        <w:autoSpaceDE/>
        <w:autoSpaceDN/>
        <w:adjustRightInd w:val="0"/>
        <w:snapToGrid w:val="0"/>
        <w:spacing w:line="600" w:lineRule="exact"/>
        <w:ind w:firstLine="560" w:firstLineChars="200"/>
        <w:jc w:val="both"/>
        <w:rPr>
          <w:rFonts w:hint="eastAsia" w:ascii="黑体" w:hAnsi="黑体" w:eastAsia="黑体" w:cs="黑体"/>
          <w:bCs/>
          <w:color w:val="auto"/>
          <w:sz w:val="28"/>
          <w:szCs w:val="28"/>
          <w:lang w:val="en-US" w:eastAsia="zh-CN"/>
        </w:rPr>
      </w:pPr>
      <w:r>
        <w:rPr>
          <w:rFonts w:hint="eastAsia" w:ascii="黑体" w:hAnsi="黑体" w:eastAsia="黑体" w:cs="黑体"/>
          <w:bCs/>
          <w:color w:val="auto"/>
          <w:sz w:val="28"/>
          <w:szCs w:val="28"/>
          <w:lang w:val="en-US" w:eastAsia="zh-CN"/>
        </w:rPr>
        <w:t>教育国际化与对口援助路径研究</w:t>
      </w:r>
    </w:p>
    <w:p w14:paraId="2F2E8B02">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lang w:eastAsia="zh-CN"/>
        </w:rPr>
      </w:pPr>
      <w:r>
        <w:rPr>
          <w:rFonts w:hint="eastAsia" w:ascii="仿宋_GB2312" w:hAnsi="仿宋_GB2312" w:eastAsia="仿宋_GB2312" w:cs="仿宋_GB2312"/>
          <w:bCs/>
          <w:color w:val="auto"/>
          <w:sz w:val="28"/>
          <w:szCs w:val="28"/>
          <w:lang w:eastAsia="zh-CN"/>
        </w:rPr>
        <w:t>开展本科生国际化培养模式与课程体系研究。探索全球视野、跨文化能力及全球胜任力培养的实践路径与评价机制。开展国际化</w:t>
      </w:r>
      <w:r>
        <w:rPr>
          <w:rFonts w:hint="eastAsia" w:ascii="仿宋_GB2312" w:hAnsi="仿宋_GB2312" w:eastAsia="仿宋_GB2312" w:cs="仿宋_GB2312"/>
          <w:bCs/>
          <w:color w:val="auto"/>
          <w:sz w:val="28"/>
          <w:szCs w:val="28"/>
          <w:lang w:val="en-US" w:eastAsia="zh-CN"/>
        </w:rPr>
        <w:t>教学</w:t>
      </w:r>
      <w:r>
        <w:rPr>
          <w:rFonts w:hint="eastAsia" w:ascii="仿宋_GB2312" w:hAnsi="仿宋_GB2312" w:eastAsia="仿宋_GB2312" w:cs="仿宋_GB2312"/>
          <w:bCs/>
          <w:color w:val="auto"/>
          <w:sz w:val="28"/>
          <w:szCs w:val="28"/>
          <w:lang w:eastAsia="zh-CN"/>
        </w:rPr>
        <w:t>资源建设、中外合作办学模式优化的路径</w:t>
      </w:r>
      <w:r>
        <w:rPr>
          <w:rFonts w:hint="eastAsia" w:ascii="仿宋_GB2312" w:hAnsi="仿宋_GB2312" w:eastAsia="仿宋_GB2312" w:cs="仿宋_GB2312"/>
          <w:bCs/>
          <w:color w:val="auto"/>
          <w:sz w:val="28"/>
          <w:szCs w:val="28"/>
          <w:lang w:val="en-US" w:eastAsia="zh-CN"/>
        </w:rPr>
        <w:t>研究</w:t>
      </w:r>
      <w:r>
        <w:rPr>
          <w:rFonts w:hint="eastAsia" w:ascii="仿宋_GB2312" w:hAnsi="仿宋_GB2312" w:eastAsia="仿宋_GB2312" w:cs="仿宋_GB2312"/>
          <w:bCs/>
          <w:color w:val="auto"/>
          <w:sz w:val="28"/>
          <w:szCs w:val="28"/>
          <w:lang w:eastAsia="zh-CN"/>
        </w:rPr>
        <w:t>。开展援藏援疆人才协同培养模式创新研究，探索跨区域教育资源共建共享与精准帮扶的实践路径。</w:t>
      </w:r>
    </w:p>
    <w:p w14:paraId="5BC308F5">
      <w:pPr>
        <w:numPr>
          <w:ilvl w:val="0"/>
          <w:numId w:val="1"/>
        </w:numPr>
        <w:autoSpaceDE/>
        <w:autoSpaceDN/>
        <w:adjustRightInd w:val="0"/>
        <w:snapToGrid w:val="0"/>
        <w:spacing w:line="600" w:lineRule="exact"/>
        <w:ind w:firstLine="560" w:firstLineChars="200"/>
        <w:jc w:val="both"/>
        <w:rPr>
          <w:rFonts w:hint="default" w:ascii="黑体" w:hAnsi="黑体" w:eastAsia="黑体" w:cs="黑体"/>
          <w:bCs/>
          <w:color w:val="auto"/>
          <w:sz w:val="28"/>
          <w:szCs w:val="28"/>
          <w:lang w:val="en-US"/>
        </w:rPr>
      </w:pPr>
      <w:r>
        <w:rPr>
          <w:rFonts w:hint="eastAsia" w:ascii="黑体" w:hAnsi="黑体" w:eastAsia="黑体" w:cs="黑体"/>
          <w:bCs/>
          <w:color w:val="auto"/>
          <w:sz w:val="28"/>
          <w:szCs w:val="28"/>
          <w:lang w:val="en-US" w:eastAsia="zh-CN"/>
        </w:rPr>
        <w:t>教育治理创新机制研究</w:t>
      </w:r>
    </w:p>
    <w:p w14:paraId="087E61A9">
      <w:pPr>
        <w:autoSpaceDE/>
        <w:autoSpaceDN/>
        <w:adjustRightInd w:val="0"/>
        <w:snapToGrid w:val="0"/>
        <w:spacing w:line="600" w:lineRule="exact"/>
        <w:ind w:firstLine="560" w:firstLineChars="200"/>
        <w:jc w:val="both"/>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sz w:val="28"/>
          <w:szCs w:val="28"/>
          <w:lang w:eastAsia="zh-CN"/>
        </w:rPr>
        <w:t>开展跨学院培养中教师团队组建与工作量认定协同机制的研究；探索异地跨校区教学协同管理新模式、教学科研</w:t>
      </w:r>
      <w:r>
        <w:rPr>
          <w:rFonts w:hint="eastAsia" w:ascii="仿宋_GB2312" w:hAnsi="仿宋_GB2312" w:eastAsia="仿宋_GB2312" w:cs="仿宋_GB2312"/>
          <w:bCs/>
          <w:color w:val="auto"/>
          <w:sz w:val="28"/>
          <w:szCs w:val="28"/>
          <w:lang w:val="en-US" w:eastAsia="zh-CN"/>
        </w:rPr>
        <w:t>协同发展</w:t>
      </w:r>
      <w:r>
        <w:rPr>
          <w:rFonts w:hint="eastAsia" w:ascii="仿宋_GB2312" w:hAnsi="仿宋_GB2312" w:eastAsia="仿宋_GB2312" w:cs="仿宋_GB2312"/>
          <w:bCs/>
          <w:color w:val="auto"/>
          <w:sz w:val="28"/>
          <w:szCs w:val="28"/>
          <w:lang w:eastAsia="zh-CN"/>
        </w:rPr>
        <w:t>机制及校外实践教师授课支持制度。研究AI融入科学决策支撑治理的实践路径。</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73C8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368F">
    <w:pPr>
      <w:pStyle w:val="6"/>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FE30F"/>
    <w:multiLevelType w:val="singleLevel"/>
    <w:tmpl w:val="395FE30F"/>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1815C4"/>
    <w:rsid w:val="002F518F"/>
    <w:rsid w:val="003F5F2A"/>
    <w:rsid w:val="00500138"/>
    <w:rsid w:val="00876E42"/>
    <w:rsid w:val="009A5857"/>
    <w:rsid w:val="00BA3803"/>
    <w:rsid w:val="00C14B91"/>
    <w:rsid w:val="00CB4873"/>
    <w:rsid w:val="00E15360"/>
    <w:rsid w:val="00F455A6"/>
    <w:rsid w:val="011E3CE2"/>
    <w:rsid w:val="012A4E2C"/>
    <w:rsid w:val="014975C3"/>
    <w:rsid w:val="02383CE7"/>
    <w:rsid w:val="023870D5"/>
    <w:rsid w:val="024B6E08"/>
    <w:rsid w:val="02D432A2"/>
    <w:rsid w:val="03406C69"/>
    <w:rsid w:val="034F46D6"/>
    <w:rsid w:val="036614AE"/>
    <w:rsid w:val="037F2752"/>
    <w:rsid w:val="03B4688D"/>
    <w:rsid w:val="03D66BA6"/>
    <w:rsid w:val="040354C1"/>
    <w:rsid w:val="061614DB"/>
    <w:rsid w:val="06BA630B"/>
    <w:rsid w:val="06F85085"/>
    <w:rsid w:val="07750484"/>
    <w:rsid w:val="07832BA1"/>
    <w:rsid w:val="079B438E"/>
    <w:rsid w:val="07E6312F"/>
    <w:rsid w:val="07EF46DA"/>
    <w:rsid w:val="08D07AA2"/>
    <w:rsid w:val="09246605"/>
    <w:rsid w:val="0972111F"/>
    <w:rsid w:val="09EF09C1"/>
    <w:rsid w:val="0A8B6D9E"/>
    <w:rsid w:val="0A8C4462"/>
    <w:rsid w:val="0AB47515"/>
    <w:rsid w:val="0AE47DFA"/>
    <w:rsid w:val="0AFB5144"/>
    <w:rsid w:val="0C3152C1"/>
    <w:rsid w:val="0C37664F"/>
    <w:rsid w:val="0C692CAD"/>
    <w:rsid w:val="0CD235E8"/>
    <w:rsid w:val="0D1C1739"/>
    <w:rsid w:val="0D1D75F3"/>
    <w:rsid w:val="0D29243C"/>
    <w:rsid w:val="0D4C612B"/>
    <w:rsid w:val="0DB717F6"/>
    <w:rsid w:val="0DF93BBD"/>
    <w:rsid w:val="0E341099"/>
    <w:rsid w:val="0EEA79A9"/>
    <w:rsid w:val="0F81030D"/>
    <w:rsid w:val="0F87169C"/>
    <w:rsid w:val="0FAC2EB1"/>
    <w:rsid w:val="0FF26B15"/>
    <w:rsid w:val="10637A13"/>
    <w:rsid w:val="10B63FE7"/>
    <w:rsid w:val="11346136"/>
    <w:rsid w:val="114A472F"/>
    <w:rsid w:val="11895257"/>
    <w:rsid w:val="11AE2F10"/>
    <w:rsid w:val="12415B32"/>
    <w:rsid w:val="12891287"/>
    <w:rsid w:val="134358DA"/>
    <w:rsid w:val="135D2C05"/>
    <w:rsid w:val="13737F6D"/>
    <w:rsid w:val="140E5EE8"/>
    <w:rsid w:val="142B6A9A"/>
    <w:rsid w:val="142F56D1"/>
    <w:rsid w:val="143771ED"/>
    <w:rsid w:val="144E4536"/>
    <w:rsid w:val="156957E4"/>
    <w:rsid w:val="156F29B6"/>
    <w:rsid w:val="15966195"/>
    <w:rsid w:val="15AA64D6"/>
    <w:rsid w:val="15BA6327"/>
    <w:rsid w:val="16874323"/>
    <w:rsid w:val="16B14E8E"/>
    <w:rsid w:val="16C64858"/>
    <w:rsid w:val="16D43419"/>
    <w:rsid w:val="16D90A2F"/>
    <w:rsid w:val="16DA6555"/>
    <w:rsid w:val="16F2564D"/>
    <w:rsid w:val="170D2487"/>
    <w:rsid w:val="170D7506"/>
    <w:rsid w:val="170F26A3"/>
    <w:rsid w:val="17A315CA"/>
    <w:rsid w:val="180A58E4"/>
    <w:rsid w:val="18515EB3"/>
    <w:rsid w:val="18A94431"/>
    <w:rsid w:val="197B401F"/>
    <w:rsid w:val="19BD0194"/>
    <w:rsid w:val="1A02204B"/>
    <w:rsid w:val="1A141D7E"/>
    <w:rsid w:val="1A4E703E"/>
    <w:rsid w:val="1A626F8D"/>
    <w:rsid w:val="1A760975"/>
    <w:rsid w:val="1AEB0D31"/>
    <w:rsid w:val="1B486183"/>
    <w:rsid w:val="1B662AAD"/>
    <w:rsid w:val="1B7E7DF7"/>
    <w:rsid w:val="1BE4346A"/>
    <w:rsid w:val="1C427076"/>
    <w:rsid w:val="1C9176B6"/>
    <w:rsid w:val="1C9673F2"/>
    <w:rsid w:val="1C980A44"/>
    <w:rsid w:val="1CB05D8E"/>
    <w:rsid w:val="1CD64E0A"/>
    <w:rsid w:val="1D0600A4"/>
    <w:rsid w:val="1D8611E5"/>
    <w:rsid w:val="1DD71A40"/>
    <w:rsid w:val="1DFB572F"/>
    <w:rsid w:val="1E9D0594"/>
    <w:rsid w:val="1F073C5F"/>
    <w:rsid w:val="1F5E41C7"/>
    <w:rsid w:val="1FBE4C66"/>
    <w:rsid w:val="201725C8"/>
    <w:rsid w:val="204C4020"/>
    <w:rsid w:val="205B4263"/>
    <w:rsid w:val="20651585"/>
    <w:rsid w:val="20711322"/>
    <w:rsid w:val="208E4638"/>
    <w:rsid w:val="21D02A2F"/>
    <w:rsid w:val="21D544E9"/>
    <w:rsid w:val="21F05012"/>
    <w:rsid w:val="21FE57EE"/>
    <w:rsid w:val="22255134"/>
    <w:rsid w:val="22484CBB"/>
    <w:rsid w:val="23496F3C"/>
    <w:rsid w:val="239F0D30"/>
    <w:rsid w:val="246D6C5B"/>
    <w:rsid w:val="24AA3A0B"/>
    <w:rsid w:val="25781413"/>
    <w:rsid w:val="26185305"/>
    <w:rsid w:val="261A071C"/>
    <w:rsid w:val="269E30FB"/>
    <w:rsid w:val="26A34BB6"/>
    <w:rsid w:val="27111B1F"/>
    <w:rsid w:val="27475541"/>
    <w:rsid w:val="274F2908"/>
    <w:rsid w:val="27680F35"/>
    <w:rsid w:val="27DB0A15"/>
    <w:rsid w:val="281C4C20"/>
    <w:rsid w:val="28A54C15"/>
    <w:rsid w:val="2939535D"/>
    <w:rsid w:val="29AF561F"/>
    <w:rsid w:val="29B13146"/>
    <w:rsid w:val="29CE3CF8"/>
    <w:rsid w:val="29DB1DB9"/>
    <w:rsid w:val="2A5967CA"/>
    <w:rsid w:val="2A81520E"/>
    <w:rsid w:val="2B12230A"/>
    <w:rsid w:val="2B2160A9"/>
    <w:rsid w:val="2B243070"/>
    <w:rsid w:val="2BA016C4"/>
    <w:rsid w:val="2BC058C2"/>
    <w:rsid w:val="2C723060"/>
    <w:rsid w:val="2C934D84"/>
    <w:rsid w:val="2CDC2BCF"/>
    <w:rsid w:val="2D99461C"/>
    <w:rsid w:val="2E5F5866"/>
    <w:rsid w:val="2E840E29"/>
    <w:rsid w:val="2E88069E"/>
    <w:rsid w:val="2F0F2DE8"/>
    <w:rsid w:val="2F4A3E20"/>
    <w:rsid w:val="2F650C5A"/>
    <w:rsid w:val="2F9E5F1A"/>
    <w:rsid w:val="2FAC4ADB"/>
    <w:rsid w:val="2FE73D65"/>
    <w:rsid w:val="30534F57"/>
    <w:rsid w:val="305B3E0B"/>
    <w:rsid w:val="309C4B4F"/>
    <w:rsid w:val="30B05F05"/>
    <w:rsid w:val="3115045E"/>
    <w:rsid w:val="31CA1248"/>
    <w:rsid w:val="3244724D"/>
    <w:rsid w:val="32780CA4"/>
    <w:rsid w:val="32790CE2"/>
    <w:rsid w:val="327B2543"/>
    <w:rsid w:val="32D305D1"/>
    <w:rsid w:val="32DD4FAB"/>
    <w:rsid w:val="32DF0D23"/>
    <w:rsid w:val="32F56799"/>
    <w:rsid w:val="32F72511"/>
    <w:rsid w:val="338418CB"/>
    <w:rsid w:val="33896EE1"/>
    <w:rsid w:val="33AA7583"/>
    <w:rsid w:val="33B43E12"/>
    <w:rsid w:val="33C1667B"/>
    <w:rsid w:val="33E660E2"/>
    <w:rsid w:val="346C4839"/>
    <w:rsid w:val="34783159"/>
    <w:rsid w:val="34D04DC8"/>
    <w:rsid w:val="34D67F04"/>
    <w:rsid w:val="35284C04"/>
    <w:rsid w:val="356D0868"/>
    <w:rsid w:val="368C7498"/>
    <w:rsid w:val="36B67FED"/>
    <w:rsid w:val="372431A9"/>
    <w:rsid w:val="37296A11"/>
    <w:rsid w:val="37F039D3"/>
    <w:rsid w:val="37F7266B"/>
    <w:rsid w:val="381E4895"/>
    <w:rsid w:val="387939C8"/>
    <w:rsid w:val="389E6F8B"/>
    <w:rsid w:val="38FD63A7"/>
    <w:rsid w:val="39131727"/>
    <w:rsid w:val="39861EF9"/>
    <w:rsid w:val="39D07618"/>
    <w:rsid w:val="3A0D3AF2"/>
    <w:rsid w:val="3AEF063D"/>
    <w:rsid w:val="3B1D476F"/>
    <w:rsid w:val="3BA7084C"/>
    <w:rsid w:val="3C0637C5"/>
    <w:rsid w:val="3C071109"/>
    <w:rsid w:val="3C4E0CC8"/>
    <w:rsid w:val="3C9708C1"/>
    <w:rsid w:val="3C9B215F"/>
    <w:rsid w:val="3CB74ABF"/>
    <w:rsid w:val="3D036D02"/>
    <w:rsid w:val="3D791099"/>
    <w:rsid w:val="3DB66B25"/>
    <w:rsid w:val="3DFF227A"/>
    <w:rsid w:val="3E483C21"/>
    <w:rsid w:val="3E8D1F7B"/>
    <w:rsid w:val="3E990920"/>
    <w:rsid w:val="3F11495A"/>
    <w:rsid w:val="3F161424"/>
    <w:rsid w:val="3F406FEE"/>
    <w:rsid w:val="3FF658FE"/>
    <w:rsid w:val="403A1C8F"/>
    <w:rsid w:val="40BC4452"/>
    <w:rsid w:val="40CA3013"/>
    <w:rsid w:val="41652D3C"/>
    <w:rsid w:val="416A0352"/>
    <w:rsid w:val="41984EBF"/>
    <w:rsid w:val="41F45E6E"/>
    <w:rsid w:val="41FF4F3E"/>
    <w:rsid w:val="422C1AAB"/>
    <w:rsid w:val="425828A0"/>
    <w:rsid w:val="425C413F"/>
    <w:rsid w:val="42650575"/>
    <w:rsid w:val="431E7646"/>
    <w:rsid w:val="432D5ADB"/>
    <w:rsid w:val="433F136A"/>
    <w:rsid w:val="43EA39CC"/>
    <w:rsid w:val="43F073CD"/>
    <w:rsid w:val="44054362"/>
    <w:rsid w:val="4416031D"/>
    <w:rsid w:val="44330ECF"/>
    <w:rsid w:val="44692B43"/>
    <w:rsid w:val="449B0822"/>
    <w:rsid w:val="44D51F86"/>
    <w:rsid w:val="45181E73"/>
    <w:rsid w:val="452228F1"/>
    <w:rsid w:val="45390767"/>
    <w:rsid w:val="45763769"/>
    <w:rsid w:val="45795008"/>
    <w:rsid w:val="462907DC"/>
    <w:rsid w:val="462A3C7A"/>
    <w:rsid w:val="46445615"/>
    <w:rsid w:val="464F5D68"/>
    <w:rsid w:val="48651873"/>
    <w:rsid w:val="486E697A"/>
    <w:rsid w:val="489B1DE1"/>
    <w:rsid w:val="490B41C9"/>
    <w:rsid w:val="4A205046"/>
    <w:rsid w:val="4A422570"/>
    <w:rsid w:val="4BF058F8"/>
    <w:rsid w:val="4C013661"/>
    <w:rsid w:val="4C1710D6"/>
    <w:rsid w:val="4C1C66ED"/>
    <w:rsid w:val="4C2D26A8"/>
    <w:rsid w:val="4C9B1D07"/>
    <w:rsid w:val="4CB15087"/>
    <w:rsid w:val="4CF907DC"/>
    <w:rsid w:val="4DC15AE7"/>
    <w:rsid w:val="4E30647F"/>
    <w:rsid w:val="4E395334"/>
    <w:rsid w:val="4ECD6554"/>
    <w:rsid w:val="4EF23735"/>
    <w:rsid w:val="4F0E056F"/>
    <w:rsid w:val="4F111E0D"/>
    <w:rsid w:val="4FE13ED5"/>
    <w:rsid w:val="505F30B9"/>
    <w:rsid w:val="51F245C8"/>
    <w:rsid w:val="52A02EF8"/>
    <w:rsid w:val="52A66D10"/>
    <w:rsid w:val="52AA2CA4"/>
    <w:rsid w:val="52AA6800"/>
    <w:rsid w:val="52B92EE7"/>
    <w:rsid w:val="52C00EF1"/>
    <w:rsid w:val="532768A0"/>
    <w:rsid w:val="53314906"/>
    <w:rsid w:val="5394125E"/>
    <w:rsid w:val="54177EC5"/>
    <w:rsid w:val="542E520F"/>
    <w:rsid w:val="544113E6"/>
    <w:rsid w:val="54640C31"/>
    <w:rsid w:val="54686973"/>
    <w:rsid w:val="548968E9"/>
    <w:rsid w:val="54AB2D04"/>
    <w:rsid w:val="55D73BF5"/>
    <w:rsid w:val="55FA77A2"/>
    <w:rsid w:val="56285A8F"/>
    <w:rsid w:val="567D5FDA"/>
    <w:rsid w:val="56C8194B"/>
    <w:rsid w:val="575256B8"/>
    <w:rsid w:val="57D83E10"/>
    <w:rsid w:val="57E83927"/>
    <w:rsid w:val="57F95B34"/>
    <w:rsid w:val="58196ABA"/>
    <w:rsid w:val="585F1E3B"/>
    <w:rsid w:val="5875165E"/>
    <w:rsid w:val="589046EA"/>
    <w:rsid w:val="58D2085F"/>
    <w:rsid w:val="58DF11CE"/>
    <w:rsid w:val="595158B5"/>
    <w:rsid w:val="598A738C"/>
    <w:rsid w:val="59ED3476"/>
    <w:rsid w:val="5A1F5D24"/>
    <w:rsid w:val="5A89319F"/>
    <w:rsid w:val="5AA20705"/>
    <w:rsid w:val="5AA77AC9"/>
    <w:rsid w:val="5B13515F"/>
    <w:rsid w:val="5B47755D"/>
    <w:rsid w:val="5B793214"/>
    <w:rsid w:val="5B7C4AB2"/>
    <w:rsid w:val="5B9C5154"/>
    <w:rsid w:val="5BB701E0"/>
    <w:rsid w:val="5BF736EF"/>
    <w:rsid w:val="5BFC5BF3"/>
    <w:rsid w:val="5C6914DA"/>
    <w:rsid w:val="5CDF354A"/>
    <w:rsid w:val="5D017965"/>
    <w:rsid w:val="5D6E7AD3"/>
    <w:rsid w:val="5DA16A52"/>
    <w:rsid w:val="5DA5535B"/>
    <w:rsid w:val="5DC866D4"/>
    <w:rsid w:val="5DE352BC"/>
    <w:rsid w:val="5E563CE0"/>
    <w:rsid w:val="5E865EED"/>
    <w:rsid w:val="5EA902B4"/>
    <w:rsid w:val="5EDA66BF"/>
    <w:rsid w:val="5EDF3CD6"/>
    <w:rsid w:val="5EEB4428"/>
    <w:rsid w:val="5F1815C4"/>
    <w:rsid w:val="5FCD1D80"/>
    <w:rsid w:val="5FD21144"/>
    <w:rsid w:val="5FDC1FC3"/>
    <w:rsid w:val="6031230F"/>
    <w:rsid w:val="604F5912"/>
    <w:rsid w:val="60CF1B28"/>
    <w:rsid w:val="613A1697"/>
    <w:rsid w:val="61B01959"/>
    <w:rsid w:val="622D6B06"/>
    <w:rsid w:val="6267026A"/>
    <w:rsid w:val="62C31218"/>
    <w:rsid w:val="631F430E"/>
    <w:rsid w:val="635F58D6"/>
    <w:rsid w:val="63754C08"/>
    <w:rsid w:val="63F26259"/>
    <w:rsid w:val="6417181C"/>
    <w:rsid w:val="64CD1CA4"/>
    <w:rsid w:val="64EF2799"/>
    <w:rsid w:val="65931376"/>
    <w:rsid w:val="65C90D85"/>
    <w:rsid w:val="665705F5"/>
    <w:rsid w:val="6683763C"/>
    <w:rsid w:val="66860EDB"/>
    <w:rsid w:val="66A12257"/>
    <w:rsid w:val="6716400D"/>
    <w:rsid w:val="67380427"/>
    <w:rsid w:val="679B2764"/>
    <w:rsid w:val="67B107D0"/>
    <w:rsid w:val="67E61C31"/>
    <w:rsid w:val="68000819"/>
    <w:rsid w:val="68A85138"/>
    <w:rsid w:val="68FD36D6"/>
    <w:rsid w:val="691C1682"/>
    <w:rsid w:val="69564B94"/>
    <w:rsid w:val="69C97A5C"/>
    <w:rsid w:val="6A3A44B6"/>
    <w:rsid w:val="6A7C4ACE"/>
    <w:rsid w:val="6A8E65B0"/>
    <w:rsid w:val="6AB44268"/>
    <w:rsid w:val="6ADA72D5"/>
    <w:rsid w:val="6AEA0A4C"/>
    <w:rsid w:val="6AEB57B0"/>
    <w:rsid w:val="6B43383E"/>
    <w:rsid w:val="6B797260"/>
    <w:rsid w:val="6BBB1626"/>
    <w:rsid w:val="6C0B4076"/>
    <w:rsid w:val="6D9E6B0A"/>
    <w:rsid w:val="6DA93784"/>
    <w:rsid w:val="6E245261"/>
    <w:rsid w:val="6E4B6BBA"/>
    <w:rsid w:val="6EBD7464"/>
    <w:rsid w:val="6ECE341F"/>
    <w:rsid w:val="6F0532E4"/>
    <w:rsid w:val="6F0D03EB"/>
    <w:rsid w:val="6F451933"/>
    <w:rsid w:val="6F6C3363"/>
    <w:rsid w:val="6F8166E3"/>
    <w:rsid w:val="6F8F0E00"/>
    <w:rsid w:val="703B2D36"/>
    <w:rsid w:val="70567B70"/>
    <w:rsid w:val="7060454A"/>
    <w:rsid w:val="71287054"/>
    <w:rsid w:val="713734FD"/>
    <w:rsid w:val="7148395C"/>
    <w:rsid w:val="71AA1F21"/>
    <w:rsid w:val="71B66B18"/>
    <w:rsid w:val="71C32FE3"/>
    <w:rsid w:val="71CD79BE"/>
    <w:rsid w:val="723A2BE4"/>
    <w:rsid w:val="72451C4A"/>
    <w:rsid w:val="72914E8F"/>
    <w:rsid w:val="72C2773E"/>
    <w:rsid w:val="73195356"/>
    <w:rsid w:val="73FE0302"/>
    <w:rsid w:val="74051691"/>
    <w:rsid w:val="747D391D"/>
    <w:rsid w:val="749D7B1B"/>
    <w:rsid w:val="74D6302D"/>
    <w:rsid w:val="751C1388"/>
    <w:rsid w:val="75436915"/>
    <w:rsid w:val="75466405"/>
    <w:rsid w:val="75A86778"/>
    <w:rsid w:val="75B570E6"/>
    <w:rsid w:val="75D92DD5"/>
    <w:rsid w:val="75FB5580"/>
    <w:rsid w:val="762F0C47"/>
    <w:rsid w:val="76312C11"/>
    <w:rsid w:val="76402E54"/>
    <w:rsid w:val="76AF1D88"/>
    <w:rsid w:val="76E934EC"/>
    <w:rsid w:val="77381D7D"/>
    <w:rsid w:val="775766A7"/>
    <w:rsid w:val="77EB6DF0"/>
    <w:rsid w:val="781225CE"/>
    <w:rsid w:val="7826607A"/>
    <w:rsid w:val="7855070D"/>
    <w:rsid w:val="785E75C1"/>
    <w:rsid w:val="78933218"/>
    <w:rsid w:val="78B96EEE"/>
    <w:rsid w:val="79534964"/>
    <w:rsid w:val="79703A50"/>
    <w:rsid w:val="797A042B"/>
    <w:rsid w:val="799C2A97"/>
    <w:rsid w:val="7A7E03EF"/>
    <w:rsid w:val="7ADE5D3C"/>
    <w:rsid w:val="7B1A0118"/>
    <w:rsid w:val="7B2A7C2F"/>
    <w:rsid w:val="7B876E2F"/>
    <w:rsid w:val="7BEC3136"/>
    <w:rsid w:val="7BF87D2D"/>
    <w:rsid w:val="7C6333F8"/>
    <w:rsid w:val="7C790E6E"/>
    <w:rsid w:val="7CC0084B"/>
    <w:rsid w:val="7CCD0279"/>
    <w:rsid w:val="7D1C7A4B"/>
    <w:rsid w:val="7D513857"/>
    <w:rsid w:val="7DCA74A7"/>
    <w:rsid w:val="7DE1316F"/>
    <w:rsid w:val="7DEB18F7"/>
    <w:rsid w:val="7E3314F0"/>
    <w:rsid w:val="7E461224"/>
    <w:rsid w:val="7EC30AC6"/>
    <w:rsid w:val="7ECF1219"/>
    <w:rsid w:val="7F403EC5"/>
    <w:rsid w:val="7F4E65E2"/>
    <w:rsid w:val="7F6D458E"/>
    <w:rsid w:val="7F7C43BE"/>
    <w:rsid w:val="7FA97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宋体" w:eastAsia="宋体" w:cs="宋体"/>
      <w:sz w:val="22"/>
      <w:szCs w:val="22"/>
      <w:lang w:val="en-US" w:eastAsia="zh-CN" w:bidi="ar-SA"/>
    </w:rPr>
  </w:style>
  <w:style w:type="paragraph" w:styleId="2">
    <w:name w:val="heading 1"/>
    <w:basedOn w:val="1"/>
    <w:next w:val="1"/>
    <w:qFormat/>
    <w:uiPriority w:val="0"/>
    <w:pPr>
      <w:keepNext/>
      <w:keepLines/>
      <w:spacing w:before="120" w:after="120"/>
      <w:outlineLvl w:val="0"/>
    </w:pPr>
    <w:rPr>
      <w:rFonts w:hAnsi="Arial" w:eastAsia="黑体" w:cs="Arial"/>
      <w:b/>
      <w:snapToGrid w:val="0"/>
      <w:color w:val="000000"/>
      <w:kern w:val="44"/>
      <w:sz w:val="28"/>
      <w:szCs w:val="21"/>
      <w:lang w:eastAsia="en-US"/>
    </w:rPr>
  </w:style>
  <w:style w:type="paragraph" w:styleId="3">
    <w:name w:val="heading 2"/>
    <w:basedOn w:val="1"/>
    <w:next w:val="1"/>
    <w:semiHidden/>
    <w:unhideWhenUsed/>
    <w:qFormat/>
    <w:uiPriority w:val="0"/>
    <w:pPr>
      <w:keepNext/>
      <w:keepLines/>
      <w:spacing w:before="20" w:after="20"/>
      <w:outlineLvl w:val="1"/>
    </w:pPr>
    <w:rPr>
      <w:rFonts w:eastAsia="黑体"/>
      <w:b/>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32"/>
      <w:szCs w:val="32"/>
    </w:rPr>
  </w:style>
  <w:style w:type="paragraph" w:styleId="5">
    <w:name w:val="footer"/>
    <w:basedOn w:val="1"/>
    <w:qFormat/>
    <w:uiPriority w:val="0"/>
    <w:pPr>
      <w:tabs>
        <w:tab w:val="center" w:pos="4153"/>
        <w:tab w:val="right" w:pos="8306"/>
      </w:tabs>
      <w:snapToGrid w:val="0"/>
      <w:jc w:val="center"/>
    </w:pPr>
    <w:rPr>
      <w:rFonts w:hAnsi="Arial" w:eastAsia="仿宋_GB2312"/>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Normal (Web)"/>
    <w:basedOn w:val="1"/>
    <w:qFormat/>
    <w:uiPriority w:val="0"/>
    <w:pPr>
      <w:spacing w:beforeAutospacing="1" w:afterAutospacing="1"/>
    </w:pPr>
    <w:rPr>
      <w:rFonts w:cs="Times New Roman"/>
      <w:sz w:val="24"/>
    </w:rPr>
  </w:style>
  <w:style w:type="character" w:styleId="10">
    <w:name w:val="Strong"/>
    <w:basedOn w:val="9"/>
    <w:qFormat/>
    <w:uiPriority w:val="0"/>
    <w:rPr>
      <w:b/>
    </w:r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3d32dd48-569e-46e0-b9f1-7ab695f2d564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7091E8F5</paraID>
      <start>10</start>
      <end>11</end>
      <status>unmodified</status>
      <modifiedWord/>
      <trackRevisions>false</trackRevisions>
    </reviewItem>
    <reviewItem>
      <errorID>07105915-cdcf-4ef3-bfbb-fb57d6ae786e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1ECE68A</paraID>
      <start>87</start>
      <end>88</end>
      <status>unmodified</status>
      <modifiedWord/>
      <trackRevisions>false</trackRevisions>
    </reviewItem>
    <reviewItem>
      <errorID>9277ea25-0ff6-4467-8554-318a35b1a2fd</errorID>
      <errorWord>学校办学特色</errorWord>
      <group>L1_Word</group>
      <groupName>字词问题</groupName>
      <ability>L2_Typo</ability>
      <abilityName>字词错误</abilityName>
      <candidateList>
        <item>办学特色</item>
      </candidateList>
      <explain/>
      <paraID>559F2D76</paraID>
      <start>0</start>
      <end>6</end>
      <status>unmodified</status>
      <modifiedWord/>
      <trackRevisions>false</trackRevisions>
    </reviewItem>
  </reviewItems>
  <config/>
</contractReview>
</file>

<file path=customXml/itemProps1.xml><?xml version="1.0" encoding="utf-8"?>
<ds:datastoreItem xmlns:ds="http://schemas.openxmlformats.org/officeDocument/2006/customXml" ds:itemID="{86A0BAEC-9AB5-434D-AE0D-16C513356BF3}">
  <ds:schemaRefs/>
</ds:datastoreItem>
</file>

<file path=docProps/app.xml><?xml version="1.0" encoding="utf-8"?>
<Properties xmlns="http://schemas.openxmlformats.org/officeDocument/2006/extended-properties" xmlns:vt="http://schemas.openxmlformats.org/officeDocument/2006/docPropsVTypes">
  <Template>Normal</Template>
  <Pages>4</Pages>
  <Words>1823</Words>
  <Characters>1832</Characters>
  <Lines>10</Lines>
  <Paragraphs>2</Paragraphs>
  <TotalTime>0</TotalTime>
  <ScaleCrop>false</ScaleCrop>
  <LinksUpToDate>false</LinksUpToDate>
  <CharactersWithSpaces>1832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2026-04-20T06:18:00Z</dcterms:created>
  <dc:creator>周洁</dc:creator>
  <cp:lastModifiedBy>毛倩</cp:lastModifiedBy>
  <dcterms:modified xsi:type="dcterms:W3CDTF">2026-05-08T02:58:48Z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AE15155165D44AE7AEBDD2A1DBEB8868_13</vt:lpwstr>
  </property>
  <property fmtid="{D5CDD505-2E9C-101B-9397-08002B2CF9AE}" pid="4" name="KSOTemplateDocerSaveRecord">
    <vt:lpwstr>eyJoZGlkIjoiMzk2YmRkZDViYTk0NGI2M2VhNTY0NDY2ZGYxNWUwNzAiLCJ1c2VySWQiOiI0MjQ2MjI2MDUifQ==</vt:lpwstr>
  </property>
</Properties>
</file>