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B2E" w:rsidRDefault="008A1B2E" w:rsidP="008A1B2E">
      <w:pPr>
        <w:spacing w:line="360" w:lineRule="auto"/>
        <w:outlineLvl w:val="1"/>
        <w:rPr>
          <w:rFonts w:ascii="微软雅黑" w:eastAsia="微软雅黑" w:hAnsi="微软雅黑" w:hint="eastAsia"/>
          <w:szCs w:val="21"/>
        </w:rPr>
      </w:pPr>
      <w:r>
        <w:rPr>
          <w:rFonts w:ascii="微软雅黑" w:eastAsia="微软雅黑" w:hAnsi="微软雅黑" w:hint="eastAsia"/>
          <w:szCs w:val="21"/>
        </w:rPr>
        <w:t xml:space="preserve">附录2-10 </w:t>
      </w:r>
      <w:bookmarkStart w:id="0" w:name="_GoBack"/>
      <w:r>
        <w:rPr>
          <w:rFonts w:ascii="微软雅黑" w:eastAsia="微软雅黑" w:hAnsi="微软雅黑" w:hint="eastAsia"/>
          <w:szCs w:val="21"/>
        </w:rPr>
        <w:t xml:space="preserve"> 西南交通大学本科课程教学目标与学习成果评估指导</w:t>
      </w:r>
      <w:bookmarkEnd w:id="0"/>
      <w:r>
        <w:rPr>
          <w:rFonts w:ascii="微软雅黑" w:eastAsia="微软雅黑" w:hAnsi="微软雅黑" w:hint="eastAsia"/>
          <w:szCs w:val="21"/>
        </w:rPr>
        <w:t>[XJZB-2501-1.0]</w:t>
      </w:r>
    </w:p>
    <w:tbl>
      <w:tblPr>
        <w:tblpPr w:leftFromText="180" w:rightFromText="180"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1376"/>
      </w:tblGrid>
      <w:tr w:rsidR="008A1B2E" w:rsidTr="006813A1">
        <w:trPr>
          <w:trHeight w:val="458"/>
        </w:trPr>
        <w:tc>
          <w:tcPr>
            <w:tcW w:w="1292" w:type="dxa"/>
            <w:vAlign w:val="center"/>
          </w:tcPr>
          <w:p w:rsidR="008A1B2E" w:rsidRDefault="008A1B2E" w:rsidP="006813A1">
            <w:pPr>
              <w:adjustRightInd w:val="0"/>
              <w:snapToGrid w:val="0"/>
              <w:jc w:val="center"/>
              <w:rPr>
                <w:rFonts w:ascii="微软雅黑" w:eastAsia="微软雅黑" w:hAnsi="微软雅黑" w:cs="黑体"/>
                <w:b/>
                <w:sz w:val="24"/>
                <w:szCs w:val="24"/>
              </w:rPr>
            </w:pPr>
            <w:r>
              <w:rPr>
                <w:rFonts w:ascii="Times New Roman" w:eastAsia="微软雅黑" w:hAnsi="Times New Roman" w:hint="eastAsia"/>
                <w:b/>
                <w:szCs w:val="21"/>
              </w:rPr>
              <w:t>编号</w:t>
            </w:r>
          </w:p>
        </w:tc>
        <w:tc>
          <w:tcPr>
            <w:tcW w:w="1376" w:type="dxa"/>
            <w:vAlign w:val="center"/>
          </w:tcPr>
          <w:p w:rsidR="008A1B2E" w:rsidRDefault="008A1B2E" w:rsidP="006813A1">
            <w:pPr>
              <w:adjustRightInd w:val="0"/>
              <w:snapToGrid w:val="0"/>
              <w:jc w:val="center"/>
              <w:rPr>
                <w:rFonts w:ascii="微软雅黑" w:eastAsia="微软雅黑" w:hAnsi="微软雅黑" w:cs="黑体"/>
                <w:b/>
                <w:sz w:val="24"/>
                <w:szCs w:val="24"/>
              </w:rPr>
            </w:pPr>
            <w:r>
              <w:rPr>
                <w:rFonts w:ascii="Times New Roman" w:eastAsia="微软雅黑" w:hAnsi="Times New Roman"/>
                <w:b/>
                <w:szCs w:val="21"/>
              </w:rPr>
              <w:t>XJZB-</w:t>
            </w:r>
            <w:r>
              <w:rPr>
                <w:rFonts w:ascii="Times New Roman" w:eastAsia="微软雅黑" w:hAnsi="Times New Roman" w:hint="eastAsia"/>
                <w:b/>
                <w:szCs w:val="21"/>
              </w:rPr>
              <w:t>25</w:t>
            </w:r>
            <w:r>
              <w:rPr>
                <w:rFonts w:ascii="Times New Roman" w:eastAsia="微软雅黑" w:hAnsi="Times New Roman"/>
                <w:b/>
                <w:szCs w:val="21"/>
              </w:rPr>
              <w:t>0</w:t>
            </w:r>
            <w:r>
              <w:rPr>
                <w:rFonts w:ascii="Times New Roman" w:eastAsia="微软雅黑" w:hAnsi="Times New Roman" w:hint="eastAsia"/>
                <w:b/>
                <w:szCs w:val="21"/>
              </w:rPr>
              <w:t>1</w:t>
            </w:r>
          </w:p>
        </w:tc>
      </w:tr>
      <w:tr w:rsidR="008A1B2E" w:rsidTr="006813A1">
        <w:tc>
          <w:tcPr>
            <w:tcW w:w="1292" w:type="dxa"/>
            <w:vAlign w:val="center"/>
          </w:tcPr>
          <w:p w:rsidR="008A1B2E" w:rsidRDefault="008A1B2E"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版本</w:t>
            </w:r>
          </w:p>
        </w:tc>
        <w:tc>
          <w:tcPr>
            <w:tcW w:w="1376" w:type="dxa"/>
            <w:vAlign w:val="center"/>
          </w:tcPr>
          <w:p w:rsidR="008A1B2E" w:rsidRDefault="008A1B2E" w:rsidP="006813A1">
            <w:pPr>
              <w:adjustRightInd w:val="0"/>
              <w:snapToGrid w:val="0"/>
              <w:jc w:val="center"/>
              <w:rPr>
                <w:rFonts w:ascii="Times New Roman" w:eastAsia="微软雅黑" w:hAnsi="Times New Roman"/>
                <w:b/>
                <w:szCs w:val="21"/>
              </w:rPr>
            </w:pPr>
            <w:r>
              <w:rPr>
                <w:rFonts w:ascii="Times New Roman" w:eastAsia="微软雅黑" w:hAnsi="Times New Roman"/>
                <w:b/>
                <w:szCs w:val="21"/>
              </w:rPr>
              <w:t>1.0</w:t>
            </w:r>
          </w:p>
        </w:tc>
      </w:tr>
      <w:tr w:rsidR="008A1B2E" w:rsidTr="006813A1">
        <w:trPr>
          <w:trHeight w:val="85"/>
        </w:trPr>
        <w:tc>
          <w:tcPr>
            <w:tcW w:w="1292" w:type="dxa"/>
            <w:vAlign w:val="center"/>
          </w:tcPr>
          <w:p w:rsidR="008A1B2E" w:rsidRDefault="008A1B2E"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生效日期</w:t>
            </w:r>
          </w:p>
        </w:tc>
        <w:tc>
          <w:tcPr>
            <w:tcW w:w="1376" w:type="dxa"/>
            <w:vAlign w:val="center"/>
          </w:tcPr>
          <w:p w:rsidR="008A1B2E" w:rsidRDefault="008A1B2E" w:rsidP="006813A1">
            <w:pPr>
              <w:adjustRightInd w:val="0"/>
              <w:snapToGrid w:val="0"/>
              <w:jc w:val="center"/>
              <w:rPr>
                <w:rFonts w:ascii="Times New Roman" w:eastAsia="微软雅黑" w:hAnsi="Times New Roman" w:hint="eastAsia"/>
                <w:b/>
                <w:szCs w:val="21"/>
              </w:rPr>
            </w:pPr>
            <w:r>
              <w:rPr>
                <w:rFonts w:ascii="Times New Roman" w:eastAsia="微软雅黑" w:hAnsi="Times New Roman" w:hint="eastAsia"/>
                <w:b/>
                <w:szCs w:val="21"/>
              </w:rPr>
              <w:t>2016.5</w:t>
            </w:r>
          </w:p>
        </w:tc>
      </w:tr>
    </w:tbl>
    <w:p w:rsidR="008A1B2E" w:rsidRDefault="008A1B2E" w:rsidP="008A1B2E"/>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pStyle w:val="a3"/>
        <w:spacing w:before="0" w:after="0"/>
        <w:outlineLvl w:val="2"/>
        <w:rPr>
          <w:rFonts w:ascii="微软雅黑" w:eastAsia="微软雅黑" w:hAnsi="微软雅黑" w:hint="eastAsia"/>
          <w:sz w:val="52"/>
          <w:szCs w:val="52"/>
        </w:rPr>
      </w:pPr>
      <w:bookmarkStart w:id="1" w:name="_Toc28143"/>
      <w:bookmarkStart w:id="2" w:name="_Toc21309"/>
    </w:p>
    <w:p w:rsidR="008A1B2E" w:rsidRDefault="008A1B2E" w:rsidP="008A1B2E">
      <w:pPr>
        <w:pStyle w:val="a3"/>
        <w:spacing w:before="0" w:after="0"/>
        <w:outlineLvl w:val="2"/>
        <w:rPr>
          <w:rFonts w:ascii="微软雅黑" w:eastAsia="微软雅黑" w:hAnsi="微软雅黑" w:hint="eastAsia"/>
          <w:sz w:val="48"/>
          <w:szCs w:val="48"/>
        </w:rPr>
      </w:pPr>
      <w:r>
        <w:rPr>
          <w:rFonts w:ascii="微软雅黑" w:eastAsia="微软雅黑" w:hAnsi="微软雅黑" w:hint="eastAsia"/>
          <w:sz w:val="48"/>
          <w:szCs w:val="48"/>
        </w:rPr>
        <w:t>西南交通大学本科课程</w:t>
      </w:r>
    </w:p>
    <w:p w:rsidR="008A1B2E" w:rsidRDefault="008A1B2E" w:rsidP="008A1B2E">
      <w:pPr>
        <w:pStyle w:val="a3"/>
        <w:spacing w:before="0" w:after="0"/>
        <w:outlineLvl w:val="2"/>
        <w:rPr>
          <w:rFonts w:ascii="微软雅黑" w:eastAsia="微软雅黑" w:hAnsi="微软雅黑"/>
          <w:sz w:val="48"/>
          <w:szCs w:val="48"/>
        </w:rPr>
      </w:pPr>
      <w:r>
        <w:rPr>
          <w:rFonts w:ascii="微软雅黑" w:eastAsia="微软雅黑" w:hAnsi="微软雅黑" w:hint="eastAsia"/>
          <w:sz w:val="48"/>
          <w:szCs w:val="48"/>
        </w:rPr>
        <w:t>教学目标与学习成果评估指导</w:t>
      </w:r>
      <w:bookmarkEnd w:id="1"/>
      <w:bookmarkEnd w:id="2"/>
    </w:p>
    <w:p w:rsidR="008A1B2E" w:rsidRDefault="008A1B2E" w:rsidP="008A1B2E">
      <w:pPr>
        <w:jc w:val="center"/>
        <w:rPr>
          <w:rFonts w:ascii="黑体" w:eastAsia="黑体" w:hAnsi="黑体"/>
          <w:bCs/>
          <w:sz w:val="36"/>
          <w:szCs w:val="36"/>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spacing w:line="360" w:lineRule="auto"/>
        <w:jc w:val="center"/>
        <w:rPr>
          <w:rFonts w:ascii="黑体" w:eastAsia="黑体" w:hAnsi="黑体"/>
          <w:b/>
          <w:color w:val="000000"/>
          <w:sz w:val="32"/>
          <w:szCs w:val="32"/>
        </w:rPr>
      </w:pPr>
    </w:p>
    <w:p w:rsidR="008A1B2E" w:rsidRDefault="008A1B2E" w:rsidP="008A1B2E">
      <w:pPr>
        <w:pStyle w:val="10"/>
        <w:autoSpaceDE w:val="0"/>
        <w:autoSpaceDN w:val="0"/>
        <w:adjustRightInd w:val="0"/>
        <w:spacing w:line="400" w:lineRule="exact"/>
        <w:ind w:left="0"/>
        <w:jc w:val="center"/>
        <w:rPr>
          <w:rFonts w:ascii="微软雅黑" w:eastAsia="微软雅黑" w:hAnsi="微软雅黑" w:cs="黑体"/>
          <w:color w:val="000000"/>
          <w:sz w:val="24"/>
          <w:szCs w:val="24"/>
        </w:rPr>
      </w:pPr>
      <w:r>
        <w:rPr>
          <w:rFonts w:ascii="微软雅黑" w:eastAsia="微软雅黑" w:hAnsi="微软雅黑" w:cs="黑体" w:hint="eastAsia"/>
          <w:color w:val="000000"/>
          <w:sz w:val="24"/>
          <w:szCs w:val="24"/>
        </w:rPr>
        <w:t>西南交通大学本科教学工作委员会</w:t>
      </w:r>
    </w:p>
    <w:p w:rsidR="008A1B2E" w:rsidRDefault="008A1B2E" w:rsidP="008A1B2E">
      <w:pPr>
        <w:spacing w:line="360" w:lineRule="auto"/>
        <w:jc w:val="center"/>
        <w:rPr>
          <w:rFonts w:ascii="黑体" w:eastAsia="黑体" w:hAnsi="黑体"/>
          <w:b/>
          <w:color w:val="000000"/>
          <w:sz w:val="32"/>
          <w:szCs w:val="32"/>
        </w:rPr>
      </w:pPr>
      <w:r>
        <w:rPr>
          <w:rFonts w:ascii="微软雅黑" w:eastAsia="微软雅黑" w:hAnsi="微软雅黑" w:cs="黑体"/>
          <w:color w:val="000000"/>
          <w:sz w:val="24"/>
          <w:szCs w:val="24"/>
        </w:rPr>
        <w:t>201</w:t>
      </w:r>
      <w:r>
        <w:rPr>
          <w:rFonts w:ascii="微软雅黑" w:eastAsia="微软雅黑" w:hAnsi="微软雅黑" w:cs="黑体" w:hint="eastAsia"/>
          <w:color w:val="000000"/>
          <w:sz w:val="24"/>
          <w:szCs w:val="24"/>
        </w:rPr>
        <w:t>6年6月</w:t>
      </w:r>
    </w:p>
    <w:p w:rsidR="008A1B2E" w:rsidRDefault="008A1B2E" w:rsidP="008A1B2E">
      <w:pPr>
        <w:spacing w:line="360" w:lineRule="auto"/>
        <w:rPr>
          <w:color w:val="000000"/>
          <w:sz w:val="24"/>
          <w:szCs w:val="24"/>
        </w:rPr>
        <w:sectPr w:rsidR="008A1B2E">
          <w:pgSz w:w="11906" w:h="16838"/>
          <w:pgMar w:top="1440" w:right="1800" w:bottom="1440" w:left="1800" w:header="851" w:footer="992" w:gutter="0"/>
          <w:cols w:space="720"/>
          <w:docGrid w:type="lines" w:linePitch="312"/>
        </w:sectPr>
      </w:pPr>
    </w:p>
    <w:p w:rsidR="008A1B2E" w:rsidRDefault="008A1B2E" w:rsidP="008A1B2E">
      <w:pPr>
        <w:pStyle w:val="1"/>
        <w:numPr>
          <w:ilvl w:val="0"/>
          <w:numId w:val="1"/>
        </w:numPr>
        <w:spacing w:before="120" w:after="120" w:line="240" w:lineRule="auto"/>
        <w:ind w:firstLine="0"/>
        <w:rPr>
          <w:rFonts w:ascii="微软雅黑" w:eastAsia="微软雅黑" w:hAnsi="微软雅黑" w:cs="微软雅黑" w:hint="eastAsia"/>
          <w:color w:val="000000"/>
          <w:sz w:val="24"/>
          <w:szCs w:val="24"/>
        </w:rPr>
      </w:pPr>
      <w:bookmarkStart w:id="3" w:name="_Toc19565"/>
      <w:bookmarkStart w:id="4" w:name="_Toc24427"/>
      <w:r>
        <w:rPr>
          <w:rFonts w:ascii="微软雅黑" w:eastAsia="微软雅黑" w:hAnsi="微软雅黑" w:cs="微软雅黑" w:hint="eastAsia"/>
          <w:color w:val="000000"/>
          <w:sz w:val="24"/>
          <w:szCs w:val="24"/>
        </w:rPr>
        <w:lastRenderedPageBreak/>
        <w:t>课程教学目标设置</w:t>
      </w:r>
      <w:bookmarkEnd w:id="3"/>
      <w:bookmarkEnd w:id="4"/>
    </w:p>
    <w:p w:rsidR="008A1B2E" w:rsidRDefault="008A1B2E" w:rsidP="008A1B2E">
      <w:pPr>
        <w:spacing w:line="312" w:lineRule="auto"/>
        <w:ind w:firstLineChars="200" w:firstLine="480"/>
        <w:jc w:val="left"/>
        <w:rPr>
          <w:rFonts w:ascii="宋体" w:hAnsi="宋体" w:cs="宋体" w:hint="eastAsia"/>
          <w:sz w:val="24"/>
          <w:szCs w:val="24"/>
        </w:rPr>
      </w:pPr>
      <w:r>
        <w:rPr>
          <w:rFonts w:ascii="宋体" w:hAnsi="宋体" w:cs="宋体" w:hint="eastAsia"/>
          <w:sz w:val="24"/>
          <w:szCs w:val="24"/>
        </w:rPr>
        <w:t>教学目标是课程预先设定，期待学生通过课程学习能够获得的收获。在设定课程教学目标时，课程应该致力于推动有意义的学习，也就是通过课程的学习让学生在某些方面发生变化，特别这种变化在课程结束之后应该还能持续下去。或者说，任课教师应该思考的问题是：我希望本课程的学习经历对学生产生哪些能在课程结束后一年左右还继续存在的影响？</w:t>
      </w:r>
    </w:p>
    <w:p w:rsidR="008A1B2E" w:rsidRDefault="008A1B2E" w:rsidP="008A1B2E">
      <w:pPr>
        <w:spacing w:line="312" w:lineRule="auto"/>
        <w:ind w:firstLineChars="200" w:firstLine="480"/>
        <w:jc w:val="left"/>
        <w:rPr>
          <w:rFonts w:ascii="宋体" w:hAnsi="宋体" w:cs="宋体" w:hint="eastAsia"/>
          <w:sz w:val="24"/>
          <w:szCs w:val="24"/>
        </w:rPr>
      </w:pPr>
      <w:r>
        <w:rPr>
          <w:rFonts w:ascii="宋体" w:hAnsi="宋体" w:cs="宋体" w:hint="eastAsia"/>
          <w:sz w:val="24"/>
          <w:szCs w:val="24"/>
        </w:rPr>
        <w:t>课程在设置教学目标时，有如下两个方面的原则需要关注：</w:t>
      </w:r>
    </w:p>
    <w:p w:rsidR="008A1B2E" w:rsidRDefault="008A1B2E" w:rsidP="008A1B2E">
      <w:pPr>
        <w:numPr>
          <w:ilvl w:val="0"/>
          <w:numId w:val="2"/>
        </w:numPr>
        <w:spacing w:line="312" w:lineRule="auto"/>
        <w:jc w:val="left"/>
        <w:rPr>
          <w:rFonts w:ascii="宋体" w:hAnsi="宋体" w:cs="宋体" w:hint="eastAsia"/>
          <w:sz w:val="24"/>
          <w:szCs w:val="24"/>
        </w:rPr>
      </w:pPr>
      <w:r>
        <w:rPr>
          <w:rFonts w:ascii="宋体" w:hAnsi="宋体" w:cs="宋体" w:hint="eastAsia"/>
          <w:sz w:val="24"/>
          <w:szCs w:val="24"/>
        </w:rPr>
        <w:t>课程教学目标应支持学生毕业要求达成</w:t>
      </w:r>
    </w:p>
    <w:p w:rsidR="008A1B2E" w:rsidRDefault="008A1B2E" w:rsidP="008A1B2E">
      <w:pPr>
        <w:spacing w:line="312" w:lineRule="auto"/>
        <w:ind w:firstLineChars="200" w:firstLine="480"/>
        <w:jc w:val="left"/>
        <w:rPr>
          <w:rFonts w:ascii="宋体" w:hAnsi="宋体" w:cs="宋体" w:hint="eastAsia"/>
          <w:sz w:val="24"/>
          <w:szCs w:val="24"/>
        </w:rPr>
      </w:pPr>
      <w:r>
        <w:rPr>
          <w:rFonts w:ascii="宋体" w:hAnsi="宋体" w:cs="宋体" w:hint="eastAsia"/>
          <w:sz w:val="24"/>
          <w:szCs w:val="24"/>
        </w:rPr>
        <w:t>毕业要求是学生在毕业时所应该达到的知识、能力、人格、价值方面的要求。每个专业在培养方案中都有明确的毕业要求。课程在设置教学目标时，应该特别关注如何支持相关专业毕业要求的达成。</w:t>
      </w:r>
    </w:p>
    <w:p w:rsidR="008A1B2E" w:rsidRDefault="008A1B2E" w:rsidP="008A1B2E">
      <w:pPr>
        <w:numPr>
          <w:ilvl w:val="0"/>
          <w:numId w:val="2"/>
        </w:numPr>
        <w:spacing w:line="312" w:lineRule="auto"/>
        <w:jc w:val="left"/>
        <w:rPr>
          <w:rFonts w:ascii="宋体" w:hAnsi="宋体" w:cs="宋体" w:hint="eastAsia"/>
          <w:sz w:val="24"/>
          <w:szCs w:val="24"/>
        </w:rPr>
      </w:pPr>
      <w:r>
        <w:rPr>
          <w:rFonts w:ascii="宋体" w:hAnsi="宋体" w:cs="宋体" w:hint="eastAsia"/>
          <w:sz w:val="24"/>
          <w:szCs w:val="24"/>
        </w:rPr>
        <w:t>课程教学目标应超越“理解+记忆”，包含多维度深层次教学目标</w:t>
      </w:r>
    </w:p>
    <w:p w:rsidR="008A1B2E" w:rsidRDefault="008A1B2E" w:rsidP="008A1B2E">
      <w:pPr>
        <w:spacing w:line="312" w:lineRule="auto"/>
        <w:ind w:firstLineChars="200" w:firstLine="480"/>
        <w:jc w:val="left"/>
        <w:rPr>
          <w:rFonts w:ascii="宋体" w:hAnsi="宋体" w:cs="宋体" w:hint="eastAsia"/>
          <w:sz w:val="24"/>
          <w:szCs w:val="24"/>
        </w:rPr>
      </w:pPr>
      <w:r>
        <w:rPr>
          <w:rFonts w:ascii="宋体" w:hAnsi="宋体" w:cs="宋体" w:hint="eastAsia"/>
          <w:sz w:val="24"/>
          <w:szCs w:val="24"/>
        </w:rPr>
        <w:t>表1中给出了西南交通大学本科课程教学目标的五大类别，即学科专属知识与技能、高级思维能力、人文价值观、工作与事业准备、个人发展五大方面。建议课程从这五个类别出发，设计自己的教学目标。表中同时给出了25种具体教学目标的建议，并非所有课程都必须包含这25种教学目标，也不是课程只能包含这些教学目标。鼓励教师根据学科和课程特点，设置更多教学目标，只是应该注意在教学目标设置的时候，应该注意涵盖知识、能力、人格与价值等多个维度，建议覆盖上述五个类别的教学目标。</w:t>
      </w:r>
    </w:p>
    <w:p w:rsidR="008A1B2E" w:rsidRDefault="008A1B2E" w:rsidP="008A1B2E">
      <w:pPr>
        <w:pStyle w:val="1"/>
        <w:numPr>
          <w:ilvl w:val="0"/>
          <w:numId w:val="1"/>
        </w:numPr>
        <w:spacing w:before="0" w:after="0" w:line="240" w:lineRule="auto"/>
        <w:ind w:firstLine="0"/>
        <w:rPr>
          <w:rFonts w:ascii="微软雅黑" w:eastAsia="微软雅黑" w:hAnsi="微软雅黑" w:cs="微软雅黑" w:hint="eastAsia"/>
          <w:color w:val="000000"/>
          <w:sz w:val="24"/>
          <w:szCs w:val="24"/>
        </w:rPr>
      </w:pPr>
      <w:bookmarkStart w:id="5" w:name="_Toc16610"/>
      <w:bookmarkStart w:id="6" w:name="_Toc2350"/>
      <w:r>
        <w:rPr>
          <w:rFonts w:ascii="微软雅黑" w:eastAsia="微软雅黑" w:hAnsi="微软雅黑" w:cs="微软雅黑" w:hint="eastAsia"/>
          <w:color w:val="000000"/>
          <w:sz w:val="24"/>
          <w:szCs w:val="24"/>
        </w:rPr>
        <w:t>课程教学目标的评估</w:t>
      </w:r>
      <w:bookmarkEnd w:id="5"/>
      <w:bookmarkEnd w:id="6"/>
    </w:p>
    <w:p w:rsidR="008A1B2E" w:rsidRDefault="008A1B2E" w:rsidP="008A1B2E">
      <w:pPr>
        <w:spacing w:line="312" w:lineRule="auto"/>
        <w:ind w:firstLineChars="200" w:firstLine="480"/>
        <w:jc w:val="left"/>
        <w:rPr>
          <w:rFonts w:ascii="宋体" w:hAnsi="宋体" w:cs="宋体" w:hint="eastAsia"/>
          <w:sz w:val="24"/>
          <w:szCs w:val="24"/>
        </w:rPr>
      </w:pPr>
      <w:r>
        <w:rPr>
          <w:rFonts w:ascii="宋体" w:hAnsi="宋体" w:cs="宋体" w:hint="eastAsia"/>
          <w:sz w:val="24"/>
          <w:szCs w:val="24"/>
        </w:rPr>
        <w:t>在对课程教学目标进行评估时，主要是包含两个方面的内容：</w:t>
      </w:r>
    </w:p>
    <w:p w:rsidR="008A1B2E" w:rsidRDefault="008A1B2E" w:rsidP="008A1B2E">
      <w:pPr>
        <w:numPr>
          <w:ilvl w:val="0"/>
          <w:numId w:val="3"/>
        </w:numPr>
        <w:tabs>
          <w:tab w:val="left" w:pos="420"/>
        </w:tabs>
        <w:spacing w:line="312" w:lineRule="auto"/>
        <w:jc w:val="left"/>
        <w:rPr>
          <w:rFonts w:ascii="宋体" w:hAnsi="宋体" w:cs="宋体" w:hint="eastAsia"/>
          <w:sz w:val="24"/>
          <w:szCs w:val="24"/>
        </w:rPr>
      </w:pPr>
      <w:r>
        <w:rPr>
          <w:rFonts w:ascii="宋体" w:hAnsi="宋体" w:cs="宋体" w:hint="eastAsia"/>
          <w:sz w:val="24"/>
          <w:szCs w:val="24"/>
        </w:rPr>
        <w:t>课程教学目标设置是否恰当？</w:t>
      </w:r>
    </w:p>
    <w:p w:rsidR="008A1B2E" w:rsidRDefault="008A1B2E" w:rsidP="008A1B2E">
      <w:pPr>
        <w:numPr>
          <w:ilvl w:val="0"/>
          <w:numId w:val="3"/>
        </w:numPr>
        <w:tabs>
          <w:tab w:val="left" w:pos="420"/>
        </w:tabs>
        <w:spacing w:line="312" w:lineRule="auto"/>
        <w:jc w:val="left"/>
        <w:rPr>
          <w:rFonts w:ascii="宋体" w:hAnsi="宋体" w:cs="宋体" w:hint="eastAsia"/>
          <w:sz w:val="24"/>
          <w:szCs w:val="24"/>
        </w:rPr>
      </w:pPr>
      <w:r>
        <w:rPr>
          <w:rFonts w:ascii="宋体" w:hAnsi="宋体" w:cs="宋体" w:hint="eastAsia"/>
          <w:sz w:val="24"/>
          <w:szCs w:val="24"/>
        </w:rPr>
        <w:t>课程教学目标是否达成？</w:t>
      </w:r>
    </w:p>
    <w:p w:rsidR="008A1B2E" w:rsidRDefault="008A1B2E" w:rsidP="008A1B2E">
      <w:pPr>
        <w:spacing w:line="312" w:lineRule="auto"/>
        <w:ind w:firstLineChars="200" w:firstLine="480"/>
        <w:jc w:val="left"/>
        <w:rPr>
          <w:rFonts w:ascii="宋体" w:hAnsi="宋体" w:cs="宋体" w:hint="eastAsia"/>
          <w:sz w:val="24"/>
          <w:szCs w:val="24"/>
        </w:rPr>
      </w:pPr>
      <w:r>
        <w:rPr>
          <w:rFonts w:ascii="宋体" w:hAnsi="宋体" w:cs="宋体" w:hint="eastAsia"/>
          <w:sz w:val="24"/>
          <w:szCs w:val="24"/>
        </w:rPr>
        <w:t>下面对着两个问题分别予以说明。</w:t>
      </w:r>
    </w:p>
    <w:p w:rsidR="008A1B2E" w:rsidRDefault="008A1B2E" w:rsidP="008A1B2E">
      <w:pPr>
        <w:numPr>
          <w:ilvl w:val="0"/>
          <w:numId w:val="4"/>
        </w:numPr>
        <w:ind w:firstLineChars="200" w:firstLine="480"/>
        <w:jc w:val="left"/>
        <w:rPr>
          <w:rFonts w:ascii="微软雅黑" w:eastAsia="微软雅黑" w:hAnsi="微软雅黑" w:cs="微软雅黑" w:hint="eastAsia"/>
          <w:b/>
          <w:bCs/>
          <w:sz w:val="24"/>
          <w:szCs w:val="24"/>
        </w:rPr>
      </w:pPr>
      <w:r>
        <w:rPr>
          <w:rFonts w:ascii="微软雅黑" w:eastAsia="微软雅黑" w:hAnsi="微软雅黑" w:cs="微软雅黑" w:hint="eastAsia"/>
          <w:b/>
          <w:bCs/>
          <w:sz w:val="24"/>
          <w:szCs w:val="24"/>
        </w:rPr>
        <w:t>如何评估课程教学目标设置是否恰当？</w:t>
      </w:r>
    </w:p>
    <w:p w:rsidR="008A1B2E" w:rsidRDefault="008A1B2E" w:rsidP="008A1B2E">
      <w:pPr>
        <w:spacing w:line="312" w:lineRule="auto"/>
        <w:ind w:firstLineChars="200" w:firstLine="480"/>
        <w:jc w:val="left"/>
        <w:rPr>
          <w:rFonts w:ascii="宋体" w:hAnsi="宋体" w:cs="宋体" w:hint="eastAsia"/>
          <w:sz w:val="24"/>
          <w:szCs w:val="24"/>
        </w:rPr>
      </w:pPr>
      <w:r>
        <w:rPr>
          <w:rFonts w:ascii="宋体" w:hAnsi="宋体" w:cs="宋体" w:hint="eastAsia"/>
          <w:sz w:val="24"/>
          <w:szCs w:val="24"/>
        </w:rPr>
        <w:t>尽管某些课程存在教学目标设置过多的问题，但目前绝大多数课程存在的问题是教学目标过于单一，主要局限在学科专属知识技能中的一部分，具体说就是“理解+记忆”知识点。应该鼓励教师将更多的教学目标纳入课程中。比如通识课程应该将提高写作能力作为重要的教学目标之一，而主流价值观形成与终身学习能力培养等也是专业课应该承担的教学任务。因而，可以鼓励课程在五个类别上都涵盖一定数量的恰当的教学目标，并依此展开课程评估。</w:t>
      </w:r>
    </w:p>
    <w:p w:rsidR="008A1B2E" w:rsidRDefault="008A1B2E" w:rsidP="008A1B2E">
      <w:pPr>
        <w:numPr>
          <w:ilvl w:val="0"/>
          <w:numId w:val="4"/>
        </w:numPr>
        <w:ind w:firstLineChars="200" w:firstLine="480"/>
        <w:jc w:val="left"/>
        <w:rPr>
          <w:rFonts w:ascii="微软雅黑" w:eastAsia="微软雅黑" w:hAnsi="微软雅黑" w:cs="微软雅黑" w:hint="eastAsia"/>
          <w:b/>
          <w:bCs/>
          <w:sz w:val="24"/>
          <w:szCs w:val="24"/>
        </w:rPr>
      </w:pPr>
      <w:r>
        <w:rPr>
          <w:rFonts w:ascii="微软雅黑" w:eastAsia="微软雅黑" w:hAnsi="微软雅黑" w:cs="微软雅黑" w:hint="eastAsia"/>
          <w:b/>
          <w:bCs/>
          <w:sz w:val="24"/>
          <w:szCs w:val="24"/>
        </w:rPr>
        <w:lastRenderedPageBreak/>
        <w:t>如何评估课程教学目标是否达成（学习成果）？</w:t>
      </w:r>
    </w:p>
    <w:p w:rsidR="008A1B2E" w:rsidRDefault="008A1B2E" w:rsidP="008A1B2E">
      <w:pPr>
        <w:widowControl/>
        <w:spacing w:line="312" w:lineRule="auto"/>
        <w:ind w:firstLineChars="200" w:firstLine="480"/>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当教师对课程进行自评估或专家对课程开展评估时，都需要针对课程的教学目标达成情况进行评价。在评估教学目标达成情况时，可以通过评价“学习成果+课程设计”的方式来进行评价，既包括结果评价（学习成果），也包括过程评价（课程设计）。具体来说，可以采用如下三类办法开展评价。</w:t>
      </w:r>
    </w:p>
    <w:p w:rsidR="008A1B2E" w:rsidRDefault="008A1B2E" w:rsidP="008A1B2E">
      <w:pPr>
        <w:widowControl/>
        <w:numPr>
          <w:ilvl w:val="0"/>
          <w:numId w:val="5"/>
        </w:numPr>
        <w:spacing w:line="312" w:lineRule="auto"/>
        <w:ind w:firstLine="0"/>
        <w:jc w:val="left"/>
        <w:textAlignment w:val="center"/>
        <w:rPr>
          <w:rFonts w:ascii="宋体" w:hAnsi="宋体" w:cs="宋体" w:hint="eastAsia"/>
          <w:b/>
          <w:bCs/>
          <w:color w:val="000000"/>
          <w:kern w:val="0"/>
          <w:sz w:val="24"/>
          <w:szCs w:val="24"/>
          <w:lang w:bidi="ar"/>
        </w:rPr>
      </w:pPr>
      <w:r>
        <w:rPr>
          <w:rFonts w:ascii="宋体" w:hAnsi="宋体" w:cs="宋体" w:hint="eastAsia"/>
          <w:b/>
          <w:bCs/>
          <w:color w:val="000000"/>
          <w:kern w:val="0"/>
          <w:sz w:val="24"/>
          <w:szCs w:val="24"/>
          <w:lang w:bidi="ar"/>
        </w:rPr>
        <w:t>增量评估</w:t>
      </w:r>
    </w:p>
    <w:p w:rsidR="008A1B2E" w:rsidRDefault="008A1B2E" w:rsidP="008A1B2E">
      <w:pPr>
        <w:widowControl/>
        <w:spacing w:line="312" w:lineRule="auto"/>
        <w:ind w:firstLineChars="200" w:firstLine="480"/>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增量评估是通过评估学生在学习课程前后所发生的（增值）变化来评价课程教学目标达成情况。如果能够有较为可靠的方法收集到学生在学习课程前后所持有的观点、所达到的能力水平等，就可以通过分析课程带来的增量变化来进行评估。</w:t>
      </w:r>
    </w:p>
    <w:p w:rsidR="008A1B2E" w:rsidRDefault="008A1B2E" w:rsidP="008A1B2E">
      <w:pPr>
        <w:widowControl/>
        <w:spacing w:line="312" w:lineRule="auto"/>
        <w:ind w:firstLineChars="200" w:firstLine="480"/>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增量评估可以用来衡量学生在学习课程前后观点、概念等发生的变化，可以通过调查问卷、课堂投票等方式收集证据。应注意收集证据的过程不要与分数、奖励批评等挂钩，尽量采用匿名形式，避免学生因感受到压力而无法做出真实选择。增量评估还可以用以评估某种特定技能的提升，比如通过教学，使得学生学会某种仪器或者软件的使用等。</w:t>
      </w:r>
    </w:p>
    <w:p w:rsidR="008A1B2E" w:rsidRDefault="008A1B2E" w:rsidP="008A1B2E">
      <w:pPr>
        <w:widowControl/>
        <w:numPr>
          <w:ilvl w:val="0"/>
          <w:numId w:val="5"/>
        </w:numPr>
        <w:spacing w:line="312" w:lineRule="auto"/>
        <w:ind w:firstLine="0"/>
        <w:jc w:val="left"/>
        <w:textAlignment w:val="center"/>
        <w:rPr>
          <w:rFonts w:ascii="宋体" w:hAnsi="宋体" w:cs="宋体" w:hint="eastAsia"/>
          <w:b/>
          <w:bCs/>
          <w:color w:val="000000"/>
          <w:kern w:val="0"/>
          <w:sz w:val="24"/>
          <w:szCs w:val="24"/>
          <w:lang w:bidi="ar"/>
        </w:rPr>
      </w:pPr>
      <w:r>
        <w:rPr>
          <w:rFonts w:ascii="宋体" w:hAnsi="宋体" w:cs="宋体" w:hint="eastAsia"/>
          <w:b/>
          <w:bCs/>
          <w:color w:val="000000"/>
          <w:kern w:val="0"/>
          <w:sz w:val="24"/>
          <w:szCs w:val="24"/>
          <w:lang w:bidi="ar"/>
        </w:rPr>
        <w:t>水平评估</w:t>
      </w:r>
    </w:p>
    <w:p w:rsidR="008A1B2E" w:rsidRDefault="008A1B2E" w:rsidP="008A1B2E">
      <w:pPr>
        <w:widowControl/>
        <w:spacing w:line="312" w:lineRule="auto"/>
        <w:ind w:firstLineChars="200" w:firstLine="480"/>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水平评估是通过学生答卷、课程设计、课程论文、口头报告等所反映出学生水平来评价课程教学目标达成情况。通常来说，当很难精确评价学生在上课之前所达到的水平时，可以通过评价学生学习课程之后所达到的水平来评价教学目标达成情况。</w:t>
      </w:r>
    </w:p>
    <w:p w:rsidR="008A1B2E" w:rsidRDefault="008A1B2E" w:rsidP="008A1B2E">
      <w:pPr>
        <w:widowControl/>
        <w:spacing w:line="312" w:lineRule="auto"/>
        <w:ind w:firstLineChars="200" w:firstLine="480"/>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当我们评价学生的“书面表达能力”时，不同学生在学习课程之前的“书面表达能力”存在很大差异性，比如有的学生可能不善于写作，有的同学可能很擅长于文学作品写作，也有的同学很擅长说明文的写作等等。这种情况下我们很难准确评价他们在学习课程之前的“书面表达能力”。课程在设定教学目标时，可以做更精准定义，使其更容易进行评价。比如针对工科专业认证2015年毕业要求中“能够就复杂工程问题与业界同行及社会公众进行有效沟通和交流，包括撰写报告和设计文稿、陈述发言、清晰表达或回应指令”，课程可以确定教学目标之一是“学生能够就能够就复杂工程问题与业界同行进行有效书面沟通和交流”，这样可以通过评价学生能否完成一篇符合专业标准的科技论文来评价教学目标达成度；课程可以确定教学目标之二是“能够就能够就复杂工程问题与</w:t>
      </w:r>
      <w:r>
        <w:rPr>
          <w:rFonts w:ascii="宋体" w:hAnsi="宋体" w:cs="宋体" w:hint="eastAsia"/>
          <w:color w:val="000000"/>
          <w:sz w:val="24"/>
          <w:szCs w:val="24"/>
        </w:rPr>
        <w:t>社会公众</w:t>
      </w:r>
      <w:r>
        <w:rPr>
          <w:rFonts w:ascii="宋体" w:hAnsi="宋体" w:cs="宋体" w:hint="eastAsia"/>
          <w:color w:val="000000"/>
          <w:kern w:val="0"/>
          <w:sz w:val="24"/>
          <w:szCs w:val="24"/>
          <w:lang w:bidi="ar"/>
        </w:rPr>
        <w:t>进行有效书面沟通和交流”，则可以通过评价学生能否写作科普类文章来进行评价，这样的文章应该能够保证易读性、准确性以及一定的趣味性等。</w:t>
      </w:r>
    </w:p>
    <w:p w:rsidR="008A1B2E" w:rsidRDefault="008A1B2E" w:rsidP="008A1B2E">
      <w:pPr>
        <w:widowControl/>
        <w:numPr>
          <w:ilvl w:val="0"/>
          <w:numId w:val="5"/>
        </w:numPr>
        <w:spacing w:line="312" w:lineRule="auto"/>
        <w:ind w:firstLine="0"/>
        <w:jc w:val="left"/>
        <w:textAlignment w:val="center"/>
        <w:rPr>
          <w:rFonts w:ascii="宋体" w:hAnsi="宋体" w:cs="宋体" w:hint="eastAsia"/>
          <w:b/>
          <w:bCs/>
          <w:color w:val="000000"/>
          <w:kern w:val="0"/>
          <w:sz w:val="24"/>
          <w:szCs w:val="24"/>
          <w:lang w:bidi="ar"/>
        </w:rPr>
      </w:pPr>
      <w:r>
        <w:rPr>
          <w:rFonts w:ascii="宋体" w:hAnsi="宋体" w:cs="宋体" w:hint="eastAsia"/>
          <w:b/>
          <w:bCs/>
          <w:color w:val="000000"/>
          <w:kern w:val="0"/>
          <w:sz w:val="24"/>
          <w:szCs w:val="24"/>
          <w:lang w:bidi="ar"/>
        </w:rPr>
        <w:lastRenderedPageBreak/>
        <w:t>过程评估</w:t>
      </w:r>
    </w:p>
    <w:p w:rsidR="008A1B2E" w:rsidRDefault="008A1B2E" w:rsidP="008A1B2E">
      <w:pPr>
        <w:widowControl/>
        <w:spacing w:line="312" w:lineRule="auto"/>
        <w:ind w:firstLineChars="200" w:firstLine="480"/>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过程评估主要适用于针对学生学习课程之前以及之后的水平都很难进行评价的教学目标。过程评估是通过分析课程在教学过程中所采取的方法策略，以及学生在教学过程中的表现，以及对自己积极性、努力程度、收获等的看法等来旁证学习成果。</w:t>
      </w:r>
    </w:p>
    <w:p w:rsidR="008A1B2E" w:rsidRDefault="008A1B2E" w:rsidP="008A1B2E">
      <w:pPr>
        <w:widowControl/>
        <w:spacing w:line="312" w:lineRule="auto"/>
        <w:ind w:firstLineChars="200" w:firstLine="480"/>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比如“培养同他人进行富有成效合作的能力”，无论是课前和课后，都很难直接评价学生的合作能力。此时一方面可以评价课程的方法与策略是否促进合作，例如是否有需要学生合作完成的作业或者项目？课程的成绩评定是否鼓励学生合作？第二方面可以依靠学生在合作中的表现以及他们对自己的评价进行判断，比如他们是否进行了合理高效的分工合作？学生是否认为自己积极参与了合作，并在合作中投入了足够时间和精力，是否满意合作的成果等等？</w:t>
      </w:r>
    </w:p>
    <w:p w:rsidR="008A1B2E" w:rsidRDefault="008A1B2E" w:rsidP="008A1B2E">
      <w:pPr>
        <w:jc w:val="center"/>
        <w:rPr>
          <w:rFonts w:ascii="微软雅黑" w:eastAsia="微软雅黑" w:hAnsi="微软雅黑" w:cs="微软雅黑" w:hint="eastAsia"/>
        </w:rPr>
      </w:pPr>
      <w:r>
        <w:rPr>
          <w:rFonts w:ascii="微软雅黑" w:eastAsia="微软雅黑" w:hAnsi="微软雅黑" w:cs="微软雅黑" w:hint="eastAsia"/>
        </w:rPr>
        <w:t>表1  西南交通大学本科课程教学目标分类</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1165"/>
        <w:gridCol w:w="8611"/>
      </w:tblGrid>
      <w:tr w:rsidR="008A1B2E" w:rsidTr="006813A1">
        <w:trPr>
          <w:trHeight w:val="352"/>
          <w:jc w:val="center"/>
        </w:trPr>
        <w:tc>
          <w:tcPr>
            <w:tcW w:w="1165"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类别</w:t>
            </w: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教学目标</w:t>
            </w:r>
          </w:p>
        </w:tc>
      </w:tr>
      <w:tr w:rsidR="008A1B2E" w:rsidTr="006813A1">
        <w:trPr>
          <w:trHeight w:val="339"/>
          <w:jc w:val="center"/>
        </w:trPr>
        <w:tc>
          <w:tcPr>
            <w:tcW w:w="1165" w:type="dxa"/>
            <w:vMerge w:val="restart"/>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I.学科专属知识与技能</w:t>
            </w: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1.理解并掌握课程重要基础知识，形成较为完整的概念性框架与知识体系（基础知识）</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2.将课程所学原理与结论应用于新问题、新情境的能力（迁移）</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3.应用课程所学知识与技能解决实际问题的能力（应用）</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4.培养使用本课程材料、工具及技术的能力（工具）</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5.掌握课程获取新知识的途径和方法（适应变化）</w:t>
            </w:r>
          </w:p>
        </w:tc>
      </w:tr>
      <w:tr w:rsidR="008A1B2E" w:rsidTr="006813A1">
        <w:trPr>
          <w:trHeight w:val="285"/>
          <w:jc w:val="center"/>
        </w:trPr>
        <w:tc>
          <w:tcPr>
            <w:tcW w:w="1165" w:type="dxa"/>
            <w:vMerge w:val="restart"/>
            <w:tcBorders>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II.高级思维能力</w:t>
            </w: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6.对事物进行分析、比较、评价、预测的批判性思维（批判性思维）</w:t>
            </w:r>
          </w:p>
        </w:tc>
      </w:tr>
      <w:tr w:rsidR="008A1B2E" w:rsidTr="006813A1">
        <w:trPr>
          <w:trHeight w:val="285"/>
          <w:jc w:val="center"/>
        </w:trPr>
        <w:tc>
          <w:tcPr>
            <w:tcW w:w="1165" w:type="dxa"/>
            <w:vMerge/>
            <w:tcBorders>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7.回答问题、进行决策、提出解决方案的实践性思维（实践性思维）</w:t>
            </w:r>
          </w:p>
        </w:tc>
      </w:tr>
      <w:tr w:rsidR="008A1B2E" w:rsidTr="006813A1">
        <w:trPr>
          <w:trHeight w:val="285"/>
          <w:jc w:val="center"/>
        </w:trPr>
        <w:tc>
          <w:tcPr>
            <w:tcW w:w="1165" w:type="dxa"/>
            <w:vMerge/>
            <w:tcBorders>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8.想象和创造新的观点、方案或产品的创造性思维（创造性思维）</w:t>
            </w:r>
          </w:p>
        </w:tc>
      </w:tr>
      <w:tr w:rsidR="008A1B2E" w:rsidTr="006813A1">
        <w:trPr>
          <w:trHeight w:val="329"/>
          <w:jc w:val="center"/>
        </w:trPr>
        <w:tc>
          <w:tcPr>
            <w:tcW w:w="1165" w:type="dxa"/>
            <w:vMerge w:val="restart"/>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III.人文价值观</w:t>
            </w: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9.践行社会主义价值观，提升对国家、社会、环境、企业、家庭的责任感（社会主义价值观）</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10.提升对人文学科的鉴赏能力（人文）</w:t>
            </w:r>
          </w:p>
        </w:tc>
      </w:tr>
      <w:tr w:rsidR="008A1B2E" w:rsidTr="006813A1">
        <w:trPr>
          <w:trHeight w:val="330"/>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11.提升洞悉科技作用的能力（科技）</w:t>
            </w:r>
          </w:p>
        </w:tc>
      </w:tr>
      <w:tr w:rsidR="008A1B2E" w:rsidTr="006813A1">
        <w:trPr>
          <w:trHeight w:val="330"/>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12.培养全面客观关注社会问题的能力（社会）</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13.培养国际视野，以及跨文化沟通交流能力（国际化）</w:t>
            </w:r>
          </w:p>
        </w:tc>
      </w:tr>
      <w:tr w:rsidR="008A1B2E" w:rsidTr="006813A1">
        <w:trPr>
          <w:trHeight w:val="290"/>
          <w:jc w:val="center"/>
        </w:trPr>
        <w:tc>
          <w:tcPr>
            <w:tcW w:w="1165" w:type="dxa"/>
            <w:vMerge w:val="restart"/>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IV.工作与事业准备</w:t>
            </w: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14.培养同他人进行富有成效合作的能力（合作）</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tabs>
                <w:tab w:val="left" w:pos="1270"/>
              </w:tabs>
              <w:adjustRightInd w:val="0"/>
              <w:snapToGrid w:val="0"/>
              <w:spacing w:line="0" w:lineRule="atLeast"/>
              <w:textAlignment w:val="center"/>
              <w:rPr>
                <w:rFonts w:ascii="宋体" w:hAnsi="宋体" w:cs="宋体"/>
                <w:color w:val="000000"/>
                <w:kern w:val="0"/>
                <w:szCs w:val="21"/>
                <w:lang w:bidi="ar"/>
              </w:rPr>
            </w:pPr>
            <w:r>
              <w:rPr>
                <w:rFonts w:ascii="宋体" w:hAnsi="宋体" w:cs="宋体" w:hint="eastAsia"/>
                <w:color w:val="000000"/>
                <w:kern w:val="0"/>
                <w:szCs w:val="21"/>
                <w:lang w:bidi="ar"/>
              </w:rPr>
              <w:t>15.培养基于科学原理采用科学方法开展研究的能力（研究）</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16.培养对工作勇于担当、精益求精的责任心（职业精神）</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17.理解、掌握并能够应用工程管理原理与经济决策方法（管理与经济）</w:t>
            </w:r>
          </w:p>
        </w:tc>
      </w:tr>
      <w:tr w:rsidR="008A1B2E" w:rsidTr="006813A1">
        <w:trPr>
          <w:trHeight w:val="344"/>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18.学会关注工作对社会、健康、安全、法律及文化的影响，并解自身应承担的责任。（关注）</w:t>
            </w:r>
          </w:p>
        </w:tc>
      </w:tr>
      <w:tr w:rsidR="008A1B2E" w:rsidTr="006813A1">
        <w:trPr>
          <w:trHeight w:val="285"/>
          <w:jc w:val="center"/>
        </w:trPr>
        <w:tc>
          <w:tcPr>
            <w:tcW w:w="1165" w:type="dxa"/>
            <w:vMerge w:val="restart"/>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V.个人发展</w:t>
            </w: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19.提升自控力与意志力（自控）</w:t>
            </w:r>
          </w:p>
        </w:tc>
      </w:tr>
      <w:tr w:rsidR="008A1B2E" w:rsidTr="006813A1">
        <w:trPr>
          <w:trHeight w:val="279"/>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20.提升有效组织和利用时间能力（时间管理）</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21.提高书面表达能力（书面）</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22.提高口头表达与沟通交流能力（口头）</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23.成为主动且高效的学习者（终身学习）</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24.促进情感健康与幸福（幸福生活）</w:t>
            </w:r>
          </w:p>
        </w:tc>
      </w:tr>
      <w:tr w:rsidR="008A1B2E" w:rsidTr="006813A1">
        <w:trPr>
          <w:trHeight w:val="285"/>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rPr>
                <w:rFonts w:ascii="宋体" w:hAnsi="宋体" w:cs="宋体"/>
                <w:color w:val="000000"/>
                <w:szCs w:val="21"/>
              </w:rPr>
            </w:pPr>
          </w:p>
        </w:tc>
        <w:tc>
          <w:tcPr>
            <w:tcW w:w="8611" w:type="dxa"/>
            <w:tcBorders>
              <w:top w:val="single" w:sz="4" w:space="0" w:color="000000"/>
              <w:left w:val="single" w:sz="4" w:space="0" w:color="000000"/>
              <w:bottom w:val="single" w:sz="4" w:space="0" w:color="000000"/>
              <w:right w:val="single" w:sz="4" w:space="0" w:color="000000"/>
            </w:tcBorders>
            <w:vAlign w:val="center"/>
          </w:tcPr>
          <w:p w:rsidR="008A1B2E" w:rsidRDefault="008A1B2E" w:rsidP="006813A1">
            <w:pPr>
              <w:widowControl/>
              <w:adjustRightInd w:val="0"/>
              <w:snapToGrid w:val="0"/>
              <w:spacing w:line="0" w:lineRule="atLeast"/>
              <w:jc w:val="left"/>
              <w:textAlignment w:val="center"/>
              <w:rPr>
                <w:rFonts w:ascii="宋体" w:hAnsi="宋体" w:cs="宋体"/>
                <w:color w:val="000000"/>
                <w:szCs w:val="21"/>
              </w:rPr>
            </w:pPr>
            <w:r>
              <w:rPr>
                <w:rFonts w:ascii="宋体" w:hAnsi="宋体" w:cs="宋体" w:hint="eastAsia"/>
                <w:color w:val="000000"/>
                <w:kern w:val="0"/>
                <w:szCs w:val="21"/>
                <w:lang w:bidi="ar"/>
              </w:rPr>
              <w:t>25.促进身体健康与幸福（健康生活）</w:t>
            </w:r>
          </w:p>
        </w:tc>
      </w:tr>
    </w:tbl>
    <w:p w:rsidR="000B37AF" w:rsidRDefault="008A1B2E">
      <w:r>
        <w:rPr>
          <w:rFonts w:ascii="黑体" w:eastAsia="黑体" w:hAnsi="黑体" w:cs="Adobe Song Std L"/>
          <w:b/>
          <w:kern w:val="0"/>
          <w:sz w:val="52"/>
          <w:szCs w:val="52"/>
        </w:rPr>
        <w:br w:type="page"/>
      </w:r>
    </w:p>
    <w:sectPr w:rsidR="000B37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dobe Song Std L">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0C58D1"/>
    <w:multiLevelType w:val="singleLevel"/>
    <w:tmpl w:val="570C58D1"/>
    <w:lvl w:ilvl="0">
      <w:start w:val="1"/>
      <w:numFmt w:val="decimal"/>
      <w:suff w:val="nothing"/>
      <w:lvlText w:val="（%1）"/>
      <w:lvlJc w:val="left"/>
    </w:lvl>
  </w:abstractNum>
  <w:abstractNum w:abstractNumId="1">
    <w:nsid w:val="570C5DBD"/>
    <w:multiLevelType w:val="singleLevel"/>
    <w:tmpl w:val="570C5DBD"/>
    <w:lvl w:ilvl="0">
      <w:start w:val="1"/>
      <w:numFmt w:val="bullet"/>
      <w:lvlText w:val=""/>
      <w:lvlJc w:val="left"/>
      <w:pPr>
        <w:tabs>
          <w:tab w:val="num" w:pos="420"/>
        </w:tabs>
        <w:ind w:left="420" w:hanging="420"/>
      </w:pPr>
      <w:rPr>
        <w:rFonts w:ascii="Wingdings" w:hAnsi="Wingdings" w:hint="default"/>
      </w:rPr>
    </w:lvl>
  </w:abstractNum>
  <w:abstractNum w:abstractNumId="2">
    <w:nsid w:val="570C5E52"/>
    <w:multiLevelType w:val="singleLevel"/>
    <w:tmpl w:val="570C5E52"/>
    <w:lvl w:ilvl="0">
      <w:start w:val="1"/>
      <w:numFmt w:val="decimal"/>
      <w:suff w:val="nothing"/>
      <w:lvlText w:val="%1．"/>
      <w:lvlJc w:val="left"/>
      <w:pPr>
        <w:ind w:left="0" w:firstLine="400"/>
      </w:pPr>
      <w:rPr>
        <w:rFonts w:hint="default"/>
      </w:rPr>
    </w:lvl>
  </w:abstractNum>
  <w:abstractNum w:abstractNumId="3">
    <w:nsid w:val="570C650D"/>
    <w:multiLevelType w:val="singleLevel"/>
    <w:tmpl w:val="570C650D"/>
    <w:lvl w:ilvl="0">
      <w:start w:val="1"/>
      <w:numFmt w:val="decimalEnclosedCircleChinese"/>
      <w:suff w:val="nothing"/>
      <w:lvlText w:val="%1　"/>
      <w:lvlJc w:val="left"/>
      <w:pPr>
        <w:ind w:left="0" w:firstLine="400"/>
      </w:pPr>
      <w:rPr>
        <w:rFonts w:hint="eastAsia"/>
      </w:rPr>
    </w:lvl>
  </w:abstractNum>
  <w:abstractNum w:abstractNumId="4">
    <w:nsid w:val="57ADDBEB"/>
    <w:multiLevelType w:val="singleLevel"/>
    <w:tmpl w:val="57ADDBEB"/>
    <w:lvl w:ilvl="0">
      <w:start w:val="1"/>
      <w:numFmt w:val="chineseCounting"/>
      <w:suff w:val="nothing"/>
      <w:lvlText w:val="%1、"/>
      <w:lvlJc w:val="left"/>
      <w:pPr>
        <w:ind w:left="0" w:firstLine="420"/>
      </w:pPr>
      <w:rPr>
        <w:rFonts w:hint="eastAsia"/>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B2E"/>
    <w:rsid w:val="00003B4B"/>
    <w:rsid w:val="00006967"/>
    <w:rsid w:val="00015F1E"/>
    <w:rsid w:val="000233DF"/>
    <w:rsid w:val="00024D90"/>
    <w:rsid w:val="00031EC2"/>
    <w:rsid w:val="00063535"/>
    <w:rsid w:val="000651A2"/>
    <w:rsid w:val="00067F65"/>
    <w:rsid w:val="0007336A"/>
    <w:rsid w:val="000778FB"/>
    <w:rsid w:val="00096010"/>
    <w:rsid w:val="000968A9"/>
    <w:rsid w:val="00097421"/>
    <w:rsid w:val="000A3A18"/>
    <w:rsid w:val="000A3E56"/>
    <w:rsid w:val="000A4B17"/>
    <w:rsid w:val="000A52AA"/>
    <w:rsid w:val="000B37AF"/>
    <w:rsid w:val="000B3A5E"/>
    <w:rsid w:val="000B795D"/>
    <w:rsid w:val="000C32A1"/>
    <w:rsid w:val="000C4720"/>
    <w:rsid w:val="000E7182"/>
    <w:rsid w:val="000F31F0"/>
    <w:rsid w:val="00111F53"/>
    <w:rsid w:val="001147F0"/>
    <w:rsid w:val="00123AB0"/>
    <w:rsid w:val="00134A93"/>
    <w:rsid w:val="00135D7B"/>
    <w:rsid w:val="00142DEC"/>
    <w:rsid w:val="00147F9E"/>
    <w:rsid w:val="00150E3A"/>
    <w:rsid w:val="0015190C"/>
    <w:rsid w:val="00151BF3"/>
    <w:rsid w:val="00155F29"/>
    <w:rsid w:val="001655FA"/>
    <w:rsid w:val="00173FAF"/>
    <w:rsid w:val="001757EE"/>
    <w:rsid w:val="00177920"/>
    <w:rsid w:val="00191EBF"/>
    <w:rsid w:val="001A45B6"/>
    <w:rsid w:val="001B5C91"/>
    <w:rsid w:val="001B6369"/>
    <w:rsid w:val="001C2C73"/>
    <w:rsid w:val="001C2F19"/>
    <w:rsid w:val="001D6731"/>
    <w:rsid w:val="001E04FD"/>
    <w:rsid w:val="001E1811"/>
    <w:rsid w:val="001F0841"/>
    <w:rsid w:val="0020577A"/>
    <w:rsid w:val="00210FCD"/>
    <w:rsid w:val="00225051"/>
    <w:rsid w:val="00225474"/>
    <w:rsid w:val="0023289D"/>
    <w:rsid w:val="0024081F"/>
    <w:rsid w:val="002442AE"/>
    <w:rsid w:val="00260501"/>
    <w:rsid w:val="002660B6"/>
    <w:rsid w:val="0026672B"/>
    <w:rsid w:val="00267E1F"/>
    <w:rsid w:val="00281821"/>
    <w:rsid w:val="00285507"/>
    <w:rsid w:val="00285708"/>
    <w:rsid w:val="00293614"/>
    <w:rsid w:val="002937D1"/>
    <w:rsid w:val="002A2170"/>
    <w:rsid w:val="002B2DCA"/>
    <w:rsid w:val="002B5F7D"/>
    <w:rsid w:val="002C11AF"/>
    <w:rsid w:val="002F2CF0"/>
    <w:rsid w:val="002F3FFD"/>
    <w:rsid w:val="002F669D"/>
    <w:rsid w:val="002F7700"/>
    <w:rsid w:val="003106DC"/>
    <w:rsid w:val="00317071"/>
    <w:rsid w:val="00317275"/>
    <w:rsid w:val="00317BD6"/>
    <w:rsid w:val="003349D8"/>
    <w:rsid w:val="0033577D"/>
    <w:rsid w:val="003419BC"/>
    <w:rsid w:val="0034376F"/>
    <w:rsid w:val="0034467C"/>
    <w:rsid w:val="00352E9C"/>
    <w:rsid w:val="00362D19"/>
    <w:rsid w:val="00372EE4"/>
    <w:rsid w:val="00374603"/>
    <w:rsid w:val="00382B29"/>
    <w:rsid w:val="003904A6"/>
    <w:rsid w:val="003A7C00"/>
    <w:rsid w:val="003B6C19"/>
    <w:rsid w:val="003D07A3"/>
    <w:rsid w:val="003D1765"/>
    <w:rsid w:val="003D5FC2"/>
    <w:rsid w:val="003F4CDD"/>
    <w:rsid w:val="00406691"/>
    <w:rsid w:val="00410B1B"/>
    <w:rsid w:val="0042184F"/>
    <w:rsid w:val="0042718A"/>
    <w:rsid w:val="004279F1"/>
    <w:rsid w:val="00430417"/>
    <w:rsid w:val="00431D49"/>
    <w:rsid w:val="00432108"/>
    <w:rsid w:val="00436885"/>
    <w:rsid w:val="00446168"/>
    <w:rsid w:val="004607E4"/>
    <w:rsid w:val="00464D12"/>
    <w:rsid w:val="00473288"/>
    <w:rsid w:val="004841FC"/>
    <w:rsid w:val="00484527"/>
    <w:rsid w:val="00494005"/>
    <w:rsid w:val="0049570F"/>
    <w:rsid w:val="004A7F57"/>
    <w:rsid w:val="004C2E80"/>
    <w:rsid w:val="004C3056"/>
    <w:rsid w:val="004C6149"/>
    <w:rsid w:val="004E6E40"/>
    <w:rsid w:val="004F7572"/>
    <w:rsid w:val="005002DF"/>
    <w:rsid w:val="00513091"/>
    <w:rsid w:val="005215D5"/>
    <w:rsid w:val="00523E67"/>
    <w:rsid w:val="00524AA7"/>
    <w:rsid w:val="005542B2"/>
    <w:rsid w:val="00563C2E"/>
    <w:rsid w:val="00570165"/>
    <w:rsid w:val="00572792"/>
    <w:rsid w:val="00574377"/>
    <w:rsid w:val="005812D5"/>
    <w:rsid w:val="00585297"/>
    <w:rsid w:val="00586072"/>
    <w:rsid w:val="00594F7E"/>
    <w:rsid w:val="00595363"/>
    <w:rsid w:val="005B3864"/>
    <w:rsid w:val="005B5680"/>
    <w:rsid w:val="005C588A"/>
    <w:rsid w:val="005D0E3D"/>
    <w:rsid w:val="005D1F1F"/>
    <w:rsid w:val="005D3A84"/>
    <w:rsid w:val="005E6B47"/>
    <w:rsid w:val="005E78D4"/>
    <w:rsid w:val="006027F4"/>
    <w:rsid w:val="00602F93"/>
    <w:rsid w:val="00606817"/>
    <w:rsid w:val="0061422A"/>
    <w:rsid w:val="00624889"/>
    <w:rsid w:val="00631BC6"/>
    <w:rsid w:val="00637A4C"/>
    <w:rsid w:val="006429E7"/>
    <w:rsid w:val="00643B54"/>
    <w:rsid w:val="006459AA"/>
    <w:rsid w:val="00646341"/>
    <w:rsid w:val="0065043C"/>
    <w:rsid w:val="006555C1"/>
    <w:rsid w:val="00656BB7"/>
    <w:rsid w:val="0066212D"/>
    <w:rsid w:val="006716FC"/>
    <w:rsid w:val="006803F6"/>
    <w:rsid w:val="006808E9"/>
    <w:rsid w:val="006878BF"/>
    <w:rsid w:val="006A54E9"/>
    <w:rsid w:val="006D5070"/>
    <w:rsid w:val="006D75A4"/>
    <w:rsid w:val="006E3E87"/>
    <w:rsid w:val="006F1CD6"/>
    <w:rsid w:val="006F3A23"/>
    <w:rsid w:val="006F3D9A"/>
    <w:rsid w:val="006F4C74"/>
    <w:rsid w:val="006F6E4A"/>
    <w:rsid w:val="006F7FB3"/>
    <w:rsid w:val="00701576"/>
    <w:rsid w:val="00705161"/>
    <w:rsid w:val="00705183"/>
    <w:rsid w:val="007115B4"/>
    <w:rsid w:val="00722893"/>
    <w:rsid w:val="00727F91"/>
    <w:rsid w:val="00735B42"/>
    <w:rsid w:val="007436E8"/>
    <w:rsid w:val="0074744D"/>
    <w:rsid w:val="00752177"/>
    <w:rsid w:val="00762ED5"/>
    <w:rsid w:val="00765E3F"/>
    <w:rsid w:val="00766514"/>
    <w:rsid w:val="007743E0"/>
    <w:rsid w:val="007828C2"/>
    <w:rsid w:val="00784933"/>
    <w:rsid w:val="007921C6"/>
    <w:rsid w:val="007A2D12"/>
    <w:rsid w:val="007B00DC"/>
    <w:rsid w:val="007C39EF"/>
    <w:rsid w:val="007C7FE3"/>
    <w:rsid w:val="007D6153"/>
    <w:rsid w:val="007E41CA"/>
    <w:rsid w:val="007E73B0"/>
    <w:rsid w:val="00812FFD"/>
    <w:rsid w:val="008268DC"/>
    <w:rsid w:val="00826E96"/>
    <w:rsid w:val="00830772"/>
    <w:rsid w:val="00830FA4"/>
    <w:rsid w:val="00833384"/>
    <w:rsid w:val="00834F99"/>
    <w:rsid w:val="00863598"/>
    <w:rsid w:val="008715F7"/>
    <w:rsid w:val="00885644"/>
    <w:rsid w:val="00885D32"/>
    <w:rsid w:val="008A1B2E"/>
    <w:rsid w:val="008A4BA9"/>
    <w:rsid w:val="008A75B6"/>
    <w:rsid w:val="008B1768"/>
    <w:rsid w:val="008B27DA"/>
    <w:rsid w:val="008D1C2A"/>
    <w:rsid w:val="008F0ACA"/>
    <w:rsid w:val="008F58E8"/>
    <w:rsid w:val="00903AB5"/>
    <w:rsid w:val="00903E3E"/>
    <w:rsid w:val="009064D9"/>
    <w:rsid w:val="009207AD"/>
    <w:rsid w:val="00932A87"/>
    <w:rsid w:val="009346AC"/>
    <w:rsid w:val="00934E05"/>
    <w:rsid w:val="00980310"/>
    <w:rsid w:val="00982A13"/>
    <w:rsid w:val="00982C13"/>
    <w:rsid w:val="00983602"/>
    <w:rsid w:val="0098769D"/>
    <w:rsid w:val="0099508D"/>
    <w:rsid w:val="009B577A"/>
    <w:rsid w:val="009D0402"/>
    <w:rsid w:val="009D3224"/>
    <w:rsid w:val="009D57A2"/>
    <w:rsid w:val="009D78CA"/>
    <w:rsid w:val="009E2485"/>
    <w:rsid w:val="009F0416"/>
    <w:rsid w:val="00A02E6F"/>
    <w:rsid w:val="00A04620"/>
    <w:rsid w:val="00A05171"/>
    <w:rsid w:val="00A1005A"/>
    <w:rsid w:val="00A43731"/>
    <w:rsid w:val="00A52118"/>
    <w:rsid w:val="00A64BF7"/>
    <w:rsid w:val="00A735AF"/>
    <w:rsid w:val="00A81808"/>
    <w:rsid w:val="00A849F6"/>
    <w:rsid w:val="00A971A0"/>
    <w:rsid w:val="00AA4116"/>
    <w:rsid w:val="00AA5222"/>
    <w:rsid w:val="00AC35C6"/>
    <w:rsid w:val="00AE20A8"/>
    <w:rsid w:val="00AF3CD2"/>
    <w:rsid w:val="00AF5ECE"/>
    <w:rsid w:val="00B01762"/>
    <w:rsid w:val="00B15409"/>
    <w:rsid w:val="00B157E3"/>
    <w:rsid w:val="00B2414B"/>
    <w:rsid w:val="00B4166C"/>
    <w:rsid w:val="00B42B9C"/>
    <w:rsid w:val="00B46C2A"/>
    <w:rsid w:val="00B62365"/>
    <w:rsid w:val="00B649AF"/>
    <w:rsid w:val="00B66F87"/>
    <w:rsid w:val="00B711EB"/>
    <w:rsid w:val="00B7544A"/>
    <w:rsid w:val="00B76985"/>
    <w:rsid w:val="00B8038B"/>
    <w:rsid w:val="00B85A10"/>
    <w:rsid w:val="00B911A4"/>
    <w:rsid w:val="00B91222"/>
    <w:rsid w:val="00B93E4C"/>
    <w:rsid w:val="00BA19C9"/>
    <w:rsid w:val="00BA528D"/>
    <w:rsid w:val="00BA7647"/>
    <w:rsid w:val="00BB2B1C"/>
    <w:rsid w:val="00BC4ADC"/>
    <w:rsid w:val="00BC52FF"/>
    <w:rsid w:val="00BC5A89"/>
    <w:rsid w:val="00BD049A"/>
    <w:rsid w:val="00BD4AA7"/>
    <w:rsid w:val="00BE3460"/>
    <w:rsid w:val="00BE6931"/>
    <w:rsid w:val="00C05DBE"/>
    <w:rsid w:val="00C23C1E"/>
    <w:rsid w:val="00C27036"/>
    <w:rsid w:val="00C2780E"/>
    <w:rsid w:val="00C30988"/>
    <w:rsid w:val="00C31518"/>
    <w:rsid w:val="00C47BF2"/>
    <w:rsid w:val="00C52937"/>
    <w:rsid w:val="00C54403"/>
    <w:rsid w:val="00C55B16"/>
    <w:rsid w:val="00C60D26"/>
    <w:rsid w:val="00C633EE"/>
    <w:rsid w:val="00C71DCC"/>
    <w:rsid w:val="00C75CF9"/>
    <w:rsid w:val="00C83119"/>
    <w:rsid w:val="00C9180C"/>
    <w:rsid w:val="00CA26DD"/>
    <w:rsid w:val="00CB167F"/>
    <w:rsid w:val="00CC292A"/>
    <w:rsid w:val="00CD44D7"/>
    <w:rsid w:val="00CE55D1"/>
    <w:rsid w:val="00CF1E8B"/>
    <w:rsid w:val="00D00C83"/>
    <w:rsid w:val="00D06B44"/>
    <w:rsid w:val="00D13F3C"/>
    <w:rsid w:val="00D20C2D"/>
    <w:rsid w:val="00D40584"/>
    <w:rsid w:val="00D51E15"/>
    <w:rsid w:val="00D60B73"/>
    <w:rsid w:val="00D63CBD"/>
    <w:rsid w:val="00D652D8"/>
    <w:rsid w:val="00D66CC4"/>
    <w:rsid w:val="00D77E50"/>
    <w:rsid w:val="00D82C42"/>
    <w:rsid w:val="00D838C9"/>
    <w:rsid w:val="00DA5B7C"/>
    <w:rsid w:val="00DA6C99"/>
    <w:rsid w:val="00DB2BF4"/>
    <w:rsid w:val="00DB2E8C"/>
    <w:rsid w:val="00DC4A2C"/>
    <w:rsid w:val="00DE1CA0"/>
    <w:rsid w:val="00DF7F95"/>
    <w:rsid w:val="00E07430"/>
    <w:rsid w:val="00E1390B"/>
    <w:rsid w:val="00E13FFD"/>
    <w:rsid w:val="00E22E52"/>
    <w:rsid w:val="00E32B83"/>
    <w:rsid w:val="00E5288D"/>
    <w:rsid w:val="00E64DEE"/>
    <w:rsid w:val="00E943E6"/>
    <w:rsid w:val="00EA71F6"/>
    <w:rsid w:val="00EB414B"/>
    <w:rsid w:val="00EC20E7"/>
    <w:rsid w:val="00EC5EDA"/>
    <w:rsid w:val="00ED56F6"/>
    <w:rsid w:val="00EE40D4"/>
    <w:rsid w:val="00EF28CD"/>
    <w:rsid w:val="00EF7132"/>
    <w:rsid w:val="00F011C5"/>
    <w:rsid w:val="00F07AD7"/>
    <w:rsid w:val="00F10970"/>
    <w:rsid w:val="00F155DD"/>
    <w:rsid w:val="00F716C1"/>
    <w:rsid w:val="00F736BE"/>
    <w:rsid w:val="00F8260F"/>
    <w:rsid w:val="00F87710"/>
    <w:rsid w:val="00F91B90"/>
    <w:rsid w:val="00F92F83"/>
    <w:rsid w:val="00FB0C49"/>
    <w:rsid w:val="00FB4F46"/>
    <w:rsid w:val="00FB6B01"/>
    <w:rsid w:val="00FC49F4"/>
    <w:rsid w:val="00FC7016"/>
    <w:rsid w:val="00FF0734"/>
    <w:rsid w:val="00FF27E2"/>
    <w:rsid w:val="00FF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DED5D1-8CE0-41D4-BE87-78D3EAC33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B2E"/>
    <w:pPr>
      <w:widowControl w:val="0"/>
      <w:jc w:val="both"/>
    </w:pPr>
    <w:rPr>
      <w:rFonts w:ascii="Calibri" w:eastAsia="宋体" w:hAnsi="Calibri" w:cs="Times New Roman"/>
    </w:rPr>
  </w:style>
  <w:style w:type="paragraph" w:styleId="1">
    <w:name w:val="heading 1"/>
    <w:basedOn w:val="a"/>
    <w:next w:val="a"/>
    <w:link w:val="1Char"/>
    <w:qFormat/>
    <w:rsid w:val="008A1B2E"/>
    <w:pPr>
      <w:keepNext/>
      <w:keepLines/>
      <w:spacing w:before="340" w:after="330" w:line="578" w:lineRule="auto"/>
      <w:outlineLvl w:val="0"/>
    </w:pPr>
    <w:rPr>
      <w:b/>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A1B2E"/>
    <w:rPr>
      <w:rFonts w:ascii="Calibri" w:eastAsia="宋体" w:hAnsi="Calibri" w:cs="Times New Roman"/>
      <w:b/>
      <w:bCs/>
      <w:kern w:val="44"/>
      <w:sz w:val="44"/>
      <w:szCs w:val="44"/>
      <w:lang w:val="zh-CN"/>
    </w:rPr>
  </w:style>
  <w:style w:type="paragraph" w:customStyle="1" w:styleId="10">
    <w:name w:val="列出段落1"/>
    <w:basedOn w:val="a"/>
    <w:uiPriority w:val="99"/>
    <w:qFormat/>
    <w:rsid w:val="008A1B2E"/>
    <w:pPr>
      <w:ind w:left="720"/>
      <w:contextualSpacing/>
    </w:pPr>
  </w:style>
  <w:style w:type="paragraph" w:styleId="a3">
    <w:name w:val="Title"/>
    <w:basedOn w:val="a"/>
    <w:next w:val="a"/>
    <w:link w:val="Char"/>
    <w:qFormat/>
    <w:rsid w:val="008A1B2E"/>
    <w:pPr>
      <w:spacing w:before="240" w:after="60"/>
      <w:jc w:val="center"/>
      <w:outlineLvl w:val="0"/>
    </w:pPr>
    <w:rPr>
      <w:rFonts w:ascii="Cambria" w:hAnsi="Cambria"/>
      <w:b/>
      <w:bCs/>
      <w:sz w:val="32"/>
      <w:szCs w:val="32"/>
    </w:rPr>
  </w:style>
  <w:style w:type="character" w:customStyle="1" w:styleId="Char">
    <w:name w:val="标题 Char"/>
    <w:basedOn w:val="a0"/>
    <w:link w:val="a3"/>
    <w:rsid w:val="008A1B2E"/>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456</Words>
  <Characters>2605</Characters>
  <Application>Microsoft Office Word</Application>
  <DocSecurity>0</DocSecurity>
  <Lines>21</Lines>
  <Paragraphs>6</Paragraphs>
  <ScaleCrop>false</ScaleCrop>
  <Company>Microsoft</Company>
  <LinksUpToDate>false</LinksUpToDate>
  <CharactersWithSpaces>3055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张国正</dc:creator>
  <cp:keywords/>
  <dc:description/>
  <cp:lastModifiedBy>张国正</cp:lastModifiedBy>
  <cp:revision>1</cp:revision>
  <dcterms:created xsi:type="dcterms:W3CDTF">2016-09-01T02:45:00Z</dcterms:created>
  <dcterms:modified xsi:type="dcterms:W3CDTF">2016-09-01T02:46:00Z</dcterms:modified>
</cp:coreProperties>
</file>